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A4" w:rsidRDefault="00C018A4" w:rsidP="00971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Scheinwelt der </w:t>
      </w:r>
      <w:r w:rsidR="00695561">
        <w:rPr>
          <w:rFonts w:ascii="Times New Roman" w:hAnsi="Times New Roman" w:cs="Times New Roman"/>
          <w:b/>
          <w:sz w:val="24"/>
          <w:szCs w:val="24"/>
        </w:rPr>
        <w:t xml:space="preserve">‚sicheren‘ </w:t>
      </w:r>
      <w:r w:rsidR="00187B17">
        <w:rPr>
          <w:rFonts w:ascii="Times New Roman" w:hAnsi="Times New Roman" w:cs="Times New Roman"/>
          <w:b/>
          <w:sz w:val="24"/>
          <w:szCs w:val="24"/>
        </w:rPr>
        <w:t xml:space="preserve">spike-basierten </w:t>
      </w:r>
      <w:r>
        <w:rPr>
          <w:rFonts w:ascii="Times New Roman" w:hAnsi="Times New Roman" w:cs="Times New Roman"/>
          <w:b/>
          <w:sz w:val="24"/>
          <w:szCs w:val="24"/>
        </w:rPr>
        <w:t>Covid-19 Impfungen</w:t>
      </w:r>
    </w:p>
    <w:p w:rsidR="00B451B0" w:rsidRPr="00B451B0" w:rsidRDefault="00BC7D10" w:rsidP="00B45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1B0" w:rsidRPr="00B451B0">
        <w:rPr>
          <w:rFonts w:ascii="Times New Roman" w:hAnsi="Times New Roman" w:cs="Times New Roman"/>
          <w:sz w:val="24"/>
          <w:szCs w:val="24"/>
        </w:rPr>
        <w:t xml:space="preserve">von </w:t>
      </w:r>
    </w:p>
    <w:p w:rsidR="00B451B0" w:rsidRPr="00B451B0" w:rsidRDefault="00B451B0" w:rsidP="00B45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1B0">
        <w:rPr>
          <w:rFonts w:ascii="Times New Roman" w:hAnsi="Times New Roman" w:cs="Times New Roman"/>
          <w:sz w:val="24"/>
          <w:szCs w:val="24"/>
        </w:rPr>
        <w:t>Dr. Karla Lehmann</w:t>
      </w:r>
    </w:p>
    <w:p w:rsidR="00B451B0" w:rsidRPr="00B451B0" w:rsidRDefault="00B451B0" w:rsidP="00B4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D8A" w:rsidRDefault="00DE2912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Herkömmliche Impfstoffe genießen den Ruf ausreichender Effektivität und guter Verträglichkeit. </w:t>
      </w:r>
      <w:r w:rsidR="005321A2">
        <w:rPr>
          <w:rFonts w:ascii="Times New Roman" w:hAnsi="Times New Roman" w:cs="Times New Roman"/>
          <w:sz w:val="24"/>
          <w:szCs w:val="24"/>
        </w:rPr>
        <w:t>Das Gegenteil erwei</w:t>
      </w:r>
      <w:r w:rsidR="00306F6D">
        <w:rPr>
          <w:rFonts w:ascii="Times New Roman" w:hAnsi="Times New Roman" w:cs="Times New Roman"/>
          <w:sz w:val="24"/>
          <w:szCs w:val="24"/>
        </w:rPr>
        <w:t>s</w:t>
      </w:r>
      <w:r w:rsidR="005321A2">
        <w:rPr>
          <w:rFonts w:ascii="Times New Roman" w:hAnsi="Times New Roman" w:cs="Times New Roman"/>
          <w:sz w:val="24"/>
          <w:szCs w:val="24"/>
        </w:rPr>
        <w:t>t</w:t>
      </w:r>
      <w:r w:rsidR="00306F6D">
        <w:rPr>
          <w:rFonts w:ascii="Times New Roman" w:hAnsi="Times New Roman" w:cs="Times New Roman"/>
          <w:sz w:val="24"/>
          <w:szCs w:val="24"/>
        </w:rPr>
        <w:t xml:space="preserve"> sich bei der Analyse von Wirksamkeit und Verträglichkeit der</w:t>
      </w:r>
      <w:r w:rsidR="001F7704">
        <w:rPr>
          <w:rFonts w:ascii="Times New Roman" w:hAnsi="Times New Roman" w:cs="Times New Roman"/>
          <w:sz w:val="24"/>
          <w:szCs w:val="24"/>
        </w:rPr>
        <w:t xml:space="preserve"> neuartigen, spike-basierten </w:t>
      </w:r>
      <w:r>
        <w:rPr>
          <w:rFonts w:ascii="Times New Roman" w:hAnsi="Times New Roman" w:cs="Times New Roman"/>
          <w:sz w:val="24"/>
          <w:szCs w:val="24"/>
        </w:rPr>
        <w:t xml:space="preserve">Covid-19 Impfstoffe </w:t>
      </w:r>
      <w:r w:rsidR="001F7704">
        <w:rPr>
          <w:rFonts w:ascii="Times New Roman" w:hAnsi="Times New Roman" w:cs="Times New Roman"/>
          <w:sz w:val="24"/>
          <w:szCs w:val="24"/>
        </w:rPr>
        <w:t>(</w:t>
      </w:r>
      <w:r w:rsidR="001F7704" w:rsidRPr="00B451B0">
        <w:rPr>
          <w:rFonts w:ascii="Times New Roman" w:hAnsi="Times New Roman" w:cs="Times New Roman"/>
          <w:sz w:val="24"/>
          <w:szCs w:val="24"/>
        </w:rPr>
        <w:t xml:space="preserve">mRNA-, AdenoVirus- und proteinbasierte </w:t>
      </w:r>
      <w:r w:rsidR="001F7704">
        <w:rPr>
          <w:rFonts w:ascii="Times New Roman" w:hAnsi="Times New Roman" w:cs="Times New Roman"/>
          <w:sz w:val="24"/>
          <w:szCs w:val="24"/>
        </w:rPr>
        <w:t>Wirk-/</w:t>
      </w:r>
      <w:r w:rsidR="001F7704" w:rsidRPr="00B451B0">
        <w:rPr>
          <w:rFonts w:ascii="Times New Roman" w:hAnsi="Times New Roman" w:cs="Times New Roman"/>
          <w:sz w:val="24"/>
          <w:szCs w:val="24"/>
        </w:rPr>
        <w:t>Impfstoffe)</w:t>
      </w:r>
      <w:r w:rsidR="007C6AE1">
        <w:rPr>
          <w:rFonts w:ascii="Times New Roman" w:hAnsi="Times New Roman" w:cs="Times New Roman"/>
          <w:sz w:val="24"/>
          <w:szCs w:val="24"/>
        </w:rPr>
        <w:t xml:space="preserve">. </w:t>
      </w:r>
      <w:r w:rsidR="00B1176E">
        <w:rPr>
          <w:rFonts w:ascii="Times New Roman" w:hAnsi="Times New Roman" w:cs="Times New Roman"/>
          <w:sz w:val="24"/>
          <w:szCs w:val="24"/>
        </w:rPr>
        <w:t xml:space="preserve">Unzureichender oder fehlender Impfschutz und insbesondere </w:t>
      </w:r>
      <w:r w:rsidR="00187114">
        <w:rPr>
          <w:rFonts w:ascii="Times New Roman" w:hAnsi="Times New Roman" w:cs="Times New Roman"/>
          <w:sz w:val="24"/>
          <w:szCs w:val="24"/>
        </w:rPr>
        <w:t xml:space="preserve">die </w:t>
      </w:r>
      <w:r>
        <w:rPr>
          <w:rFonts w:ascii="Times New Roman" w:hAnsi="Times New Roman" w:cs="Times New Roman"/>
          <w:sz w:val="24"/>
          <w:szCs w:val="24"/>
        </w:rPr>
        <w:t xml:space="preserve">Risiken </w:t>
      </w:r>
      <w:r w:rsidR="00071791">
        <w:rPr>
          <w:rFonts w:ascii="Times New Roman" w:hAnsi="Times New Roman" w:cs="Times New Roman"/>
          <w:sz w:val="24"/>
          <w:szCs w:val="24"/>
        </w:rPr>
        <w:t xml:space="preserve">bestimmen </w:t>
      </w:r>
      <w:r w:rsidR="001F7704">
        <w:rPr>
          <w:rFonts w:ascii="Times New Roman" w:hAnsi="Times New Roman" w:cs="Times New Roman"/>
          <w:sz w:val="24"/>
          <w:szCs w:val="24"/>
        </w:rPr>
        <w:t xml:space="preserve">zunehmend </w:t>
      </w:r>
      <w:r w:rsidR="00071791">
        <w:rPr>
          <w:rFonts w:ascii="Times New Roman" w:hAnsi="Times New Roman" w:cs="Times New Roman"/>
          <w:sz w:val="24"/>
          <w:szCs w:val="24"/>
        </w:rPr>
        <w:t>den Diskurs</w:t>
      </w:r>
      <w:r w:rsidR="00AA5A18">
        <w:rPr>
          <w:rFonts w:ascii="Times New Roman" w:hAnsi="Times New Roman" w:cs="Times New Roman"/>
          <w:sz w:val="24"/>
          <w:szCs w:val="24"/>
        </w:rPr>
        <w:t>.</w:t>
      </w:r>
      <w:r w:rsidR="006013F3">
        <w:rPr>
          <w:rFonts w:ascii="Times New Roman" w:hAnsi="Times New Roman" w:cs="Times New Roman"/>
          <w:sz w:val="24"/>
          <w:szCs w:val="24"/>
        </w:rPr>
        <w:t xml:space="preserve"> </w:t>
      </w:r>
      <w:r w:rsidR="001F7704">
        <w:rPr>
          <w:rFonts w:ascii="Times New Roman" w:hAnsi="Times New Roman" w:cs="Times New Roman"/>
          <w:sz w:val="24"/>
          <w:szCs w:val="24"/>
        </w:rPr>
        <w:t>PEI, STIKO</w:t>
      </w:r>
      <w:r w:rsidR="00306F6D">
        <w:rPr>
          <w:rFonts w:ascii="Times New Roman" w:hAnsi="Times New Roman" w:cs="Times New Roman"/>
          <w:sz w:val="24"/>
          <w:szCs w:val="24"/>
        </w:rPr>
        <w:t xml:space="preserve"> und </w:t>
      </w:r>
      <w:r w:rsidR="001F7704">
        <w:rPr>
          <w:rFonts w:ascii="Times New Roman" w:hAnsi="Times New Roman" w:cs="Times New Roman"/>
          <w:sz w:val="24"/>
          <w:szCs w:val="24"/>
        </w:rPr>
        <w:t>d</w:t>
      </w:r>
      <w:r w:rsidR="001B24B2">
        <w:rPr>
          <w:rFonts w:ascii="Times New Roman" w:hAnsi="Times New Roman" w:cs="Times New Roman"/>
          <w:sz w:val="24"/>
          <w:szCs w:val="24"/>
        </w:rPr>
        <w:t>i</w:t>
      </w:r>
      <w:r w:rsidR="001F7704">
        <w:rPr>
          <w:rFonts w:ascii="Times New Roman" w:hAnsi="Times New Roman" w:cs="Times New Roman"/>
          <w:sz w:val="24"/>
          <w:szCs w:val="24"/>
        </w:rPr>
        <w:t>e AkdÄ</w:t>
      </w:r>
      <w:r w:rsidR="005536E7">
        <w:rPr>
          <w:rFonts w:ascii="Times New Roman" w:hAnsi="Times New Roman" w:cs="Times New Roman"/>
          <w:sz w:val="24"/>
          <w:szCs w:val="24"/>
        </w:rPr>
        <w:t xml:space="preserve"> halten </w:t>
      </w:r>
      <w:r w:rsidR="00166793">
        <w:rPr>
          <w:rFonts w:ascii="Times New Roman" w:hAnsi="Times New Roman" w:cs="Times New Roman"/>
          <w:sz w:val="24"/>
          <w:szCs w:val="24"/>
        </w:rPr>
        <w:t xml:space="preserve">jedoch </w:t>
      </w:r>
      <w:r w:rsidR="00187114">
        <w:rPr>
          <w:rFonts w:ascii="Times New Roman" w:hAnsi="Times New Roman" w:cs="Times New Roman"/>
          <w:sz w:val="24"/>
          <w:szCs w:val="24"/>
        </w:rPr>
        <w:t xml:space="preserve">informationsresistent </w:t>
      </w:r>
      <w:r w:rsidR="005536E7">
        <w:rPr>
          <w:rFonts w:ascii="Times New Roman" w:hAnsi="Times New Roman" w:cs="Times New Roman"/>
          <w:sz w:val="24"/>
          <w:szCs w:val="24"/>
        </w:rPr>
        <w:t>am Scheinkonzept eines sicheren Impfstoffes mit positiver Nutzen-Risiko-Bewertung fest</w:t>
      </w:r>
      <w:r w:rsidR="007F4D8A">
        <w:rPr>
          <w:rFonts w:ascii="Times New Roman" w:hAnsi="Times New Roman" w:cs="Times New Roman"/>
          <w:sz w:val="24"/>
          <w:szCs w:val="24"/>
        </w:rPr>
        <w:t xml:space="preserve">. </w:t>
      </w:r>
      <w:r w:rsidR="00A10FF7">
        <w:rPr>
          <w:rFonts w:ascii="Times New Roman" w:hAnsi="Times New Roman" w:cs="Times New Roman"/>
          <w:sz w:val="24"/>
          <w:szCs w:val="24"/>
        </w:rPr>
        <w:t xml:space="preserve">Die Vernachlässigung wissenschaftlicher Gründlichkeit und Wahrheitsfindung bei Analyse und Systematisierung der äußerst zahlreichen, vielfältigen und zum Teil gefährlichen Nebenwirkungen verhinderte den notwendigen Erkenntnisgewinn und dessen Weitergabe. </w:t>
      </w:r>
      <w:r w:rsidR="007C6AE1">
        <w:rPr>
          <w:rFonts w:ascii="Times New Roman" w:hAnsi="Times New Roman" w:cs="Times New Roman"/>
          <w:sz w:val="24"/>
          <w:szCs w:val="24"/>
        </w:rPr>
        <w:t>D</w:t>
      </w:r>
      <w:r w:rsidR="00B1176E">
        <w:rPr>
          <w:rFonts w:ascii="Times New Roman" w:hAnsi="Times New Roman" w:cs="Times New Roman"/>
          <w:sz w:val="24"/>
          <w:szCs w:val="24"/>
        </w:rPr>
        <w:t>em Gros der nicht eigenständig R</w:t>
      </w:r>
      <w:r w:rsidR="007C6AE1">
        <w:rPr>
          <w:rFonts w:ascii="Times New Roman" w:hAnsi="Times New Roman" w:cs="Times New Roman"/>
          <w:sz w:val="24"/>
          <w:szCs w:val="24"/>
        </w:rPr>
        <w:t>echerchierenden</w:t>
      </w:r>
      <w:r w:rsidR="00166793">
        <w:rPr>
          <w:rFonts w:ascii="Times New Roman" w:hAnsi="Times New Roman" w:cs="Times New Roman"/>
          <w:sz w:val="24"/>
          <w:szCs w:val="24"/>
        </w:rPr>
        <w:t xml:space="preserve"> </w:t>
      </w:r>
      <w:r w:rsidR="007C6AE1">
        <w:rPr>
          <w:rFonts w:ascii="Times New Roman" w:hAnsi="Times New Roman" w:cs="Times New Roman"/>
          <w:sz w:val="24"/>
          <w:szCs w:val="24"/>
        </w:rPr>
        <w:t xml:space="preserve">fehlen </w:t>
      </w:r>
      <w:r w:rsidR="00187114">
        <w:rPr>
          <w:rFonts w:ascii="Times New Roman" w:hAnsi="Times New Roman" w:cs="Times New Roman"/>
          <w:sz w:val="24"/>
          <w:szCs w:val="24"/>
        </w:rPr>
        <w:t xml:space="preserve">aus diesen Gründen </w:t>
      </w:r>
      <w:r w:rsidR="00166793">
        <w:rPr>
          <w:rFonts w:ascii="Times New Roman" w:hAnsi="Times New Roman" w:cs="Times New Roman"/>
          <w:sz w:val="24"/>
          <w:szCs w:val="24"/>
        </w:rPr>
        <w:t>seit Beginn der Impfkampagne</w:t>
      </w:r>
      <w:r w:rsidR="007C6AE1">
        <w:rPr>
          <w:rFonts w:ascii="Times New Roman" w:hAnsi="Times New Roman" w:cs="Times New Roman"/>
          <w:sz w:val="24"/>
          <w:szCs w:val="24"/>
        </w:rPr>
        <w:t xml:space="preserve"> grundlegende </w:t>
      </w:r>
      <w:r w:rsidR="00166793">
        <w:rPr>
          <w:rFonts w:ascii="Times New Roman" w:hAnsi="Times New Roman" w:cs="Times New Roman"/>
          <w:sz w:val="24"/>
          <w:szCs w:val="24"/>
        </w:rPr>
        <w:t>Informationen</w:t>
      </w:r>
      <w:r w:rsidR="00F70A8B">
        <w:rPr>
          <w:rFonts w:ascii="Times New Roman" w:hAnsi="Times New Roman" w:cs="Times New Roman"/>
          <w:sz w:val="24"/>
          <w:szCs w:val="24"/>
        </w:rPr>
        <w:t xml:space="preserve"> </w:t>
      </w:r>
      <w:r w:rsidR="00166793">
        <w:rPr>
          <w:rFonts w:ascii="Times New Roman" w:hAnsi="Times New Roman" w:cs="Times New Roman"/>
          <w:sz w:val="24"/>
          <w:szCs w:val="24"/>
        </w:rPr>
        <w:t xml:space="preserve">zum Nebenwirkungsprofil und </w:t>
      </w:r>
      <w:r w:rsidR="007C6AE1">
        <w:rPr>
          <w:rFonts w:ascii="Times New Roman" w:hAnsi="Times New Roman" w:cs="Times New Roman"/>
          <w:sz w:val="24"/>
          <w:szCs w:val="24"/>
        </w:rPr>
        <w:t>seiner Verursachung.</w:t>
      </w:r>
      <w:r w:rsidR="00F70A8B">
        <w:rPr>
          <w:rFonts w:ascii="Times New Roman" w:hAnsi="Times New Roman" w:cs="Times New Roman"/>
          <w:sz w:val="24"/>
          <w:szCs w:val="24"/>
        </w:rPr>
        <w:t xml:space="preserve"> Deshalb </w:t>
      </w:r>
      <w:r w:rsidR="00B1176E">
        <w:rPr>
          <w:rFonts w:ascii="Times New Roman" w:hAnsi="Times New Roman" w:cs="Times New Roman"/>
          <w:sz w:val="24"/>
          <w:szCs w:val="24"/>
        </w:rPr>
        <w:t>verwundert es nicht, daß d</w:t>
      </w:r>
      <w:r w:rsidR="0032278A">
        <w:rPr>
          <w:rFonts w:ascii="Times New Roman" w:hAnsi="Times New Roman" w:cs="Times New Roman"/>
          <w:sz w:val="24"/>
          <w:szCs w:val="24"/>
        </w:rPr>
        <w:t xml:space="preserve">ie </w:t>
      </w:r>
      <w:r w:rsidR="00F30DF9" w:rsidRPr="00B451B0">
        <w:rPr>
          <w:rFonts w:ascii="Times New Roman" w:hAnsi="Times New Roman" w:cs="Times New Roman"/>
          <w:sz w:val="24"/>
          <w:szCs w:val="24"/>
        </w:rPr>
        <w:t>sogen Med</w:t>
      </w:r>
      <w:r w:rsidR="0011092C">
        <w:rPr>
          <w:rFonts w:ascii="Times New Roman" w:hAnsi="Times New Roman" w:cs="Times New Roman"/>
          <w:sz w:val="24"/>
          <w:szCs w:val="24"/>
        </w:rPr>
        <w:t>SafetyWeek (4.-10.11.2024)</w:t>
      </w:r>
      <w:r w:rsidR="0032278A">
        <w:rPr>
          <w:rFonts w:ascii="Times New Roman" w:hAnsi="Times New Roman" w:cs="Times New Roman"/>
          <w:sz w:val="24"/>
          <w:szCs w:val="24"/>
        </w:rPr>
        <w:t xml:space="preserve">, die eine </w:t>
      </w:r>
      <w:r w:rsidR="0032278A" w:rsidRPr="00B451B0">
        <w:rPr>
          <w:rFonts w:ascii="Times New Roman" w:hAnsi="Times New Roman" w:cs="Times New Roman"/>
          <w:sz w:val="24"/>
          <w:szCs w:val="24"/>
        </w:rPr>
        <w:t xml:space="preserve">Sensibilisierung </w:t>
      </w:r>
      <w:r w:rsidR="0032278A">
        <w:rPr>
          <w:rFonts w:ascii="Times New Roman" w:hAnsi="Times New Roman" w:cs="Times New Roman"/>
          <w:sz w:val="24"/>
          <w:szCs w:val="24"/>
        </w:rPr>
        <w:t xml:space="preserve">gegenüber </w:t>
      </w:r>
      <w:r w:rsidR="0032278A" w:rsidRPr="00B451B0">
        <w:rPr>
          <w:rFonts w:ascii="Times New Roman" w:hAnsi="Times New Roman" w:cs="Times New Roman"/>
          <w:sz w:val="24"/>
          <w:szCs w:val="24"/>
        </w:rPr>
        <w:t>Nebenwirkung</w:t>
      </w:r>
      <w:r w:rsidR="0032278A">
        <w:rPr>
          <w:rFonts w:ascii="Times New Roman" w:hAnsi="Times New Roman" w:cs="Times New Roman"/>
          <w:sz w:val="24"/>
          <w:szCs w:val="24"/>
        </w:rPr>
        <w:t>s</w:t>
      </w:r>
      <w:r w:rsidR="00F448D9">
        <w:rPr>
          <w:rFonts w:ascii="Times New Roman" w:hAnsi="Times New Roman" w:cs="Times New Roman"/>
          <w:sz w:val="24"/>
          <w:szCs w:val="24"/>
        </w:rPr>
        <w:t>-</w:t>
      </w:r>
      <w:r w:rsidR="0032278A">
        <w:rPr>
          <w:rFonts w:ascii="Times New Roman" w:hAnsi="Times New Roman" w:cs="Times New Roman"/>
          <w:sz w:val="24"/>
          <w:szCs w:val="24"/>
        </w:rPr>
        <w:t xml:space="preserve">meldungen </w:t>
      </w:r>
      <w:r w:rsidR="0032278A" w:rsidRPr="00B451B0">
        <w:rPr>
          <w:rFonts w:ascii="Times New Roman" w:hAnsi="Times New Roman" w:cs="Times New Roman"/>
          <w:sz w:val="24"/>
          <w:szCs w:val="24"/>
        </w:rPr>
        <w:t xml:space="preserve"> </w:t>
      </w:r>
      <w:r w:rsidR="0032278A">
        <w:rPr>
          <w:rFonts w:ascii="Times New Roman" w:hAnsi="Times New Roman" w:cs="Times New Roman"/>
          <w:sz w:val="24"/>
          <w:szCs w:val="24"/>
        </w:rPr>
        <w:t xml:space="preserve">bezweckte, </w:t>
      </w:r>
      <w:r w:rsidR="0011092C">
        <w:rPr>
          <w:rFonts w:ascii="Times New Roman" w:hAnsi="Times New Roman" w:cs="Times New Roman"/>
          <w:sz w:val="24"/>
          <w:szCs w:val="24"/>
        </w:rPr>
        <w:t xml:space="preserve"> </w:t>
      </w:r>
      <w:r w:rsidR="0018636B" w:rsidRPr="00B451B0">
        <w:rPr>
          <w:rFonts w:ascii="Times New Roman" w:hAnsi="Times New Roman" w:cs="Times New Roman"/>
          <w:sz w:val="24"/>
          <w:szCs w:val="24"/>
        </w:rPr>
        <w:t xml:space="preserve">für Covid-19 Impfstoffe </w:t>
      </w:r>
      <w:r w:rsidR="00F34846">
        <w:rPr>
          <w:rFonts w:ascii="Times New Roman" w:hAnsi="Times New Roman" w:cs="Times New Roman"/>
          <w:sz w:val="24"/>
          <w:szCs w:val="24"/>
        </w:rPr>
        <w:t xml:space="preserve">in Deutschland </w:t>
      </w:r>
      <w:r w:rsidR="0032278A">
        <w:rPr>
          <w:rFonts w:ascii="Times New Roman" w:hAnsi="Times New Roman" w:cs="Times New Roman"/>
          <w:sz w:val="24"/>
          <w:szCs w:val="24"/>
        </w:rPr>
        <w:t xml:space="preserve">gänzlich </w:t>
      </w:r>
      <w:r w:rsidR="001F7704">
        <w:rPr>
          <w:rFonts w:ascii="Times New Roman" w:hAnsi="Times New Roman" w:cs="Times New Roman"/>
          <w:sz w:val="24"/>
          <w:szCs w:val="24"/>
        </w:rPr>
        <w:t>ins Leere</w:t>
      </w:r>
      <w:r w:rsidR="00B1176E">
        <w:rPr>
          <w:rFonts w:ascii="Times New Roman" w:hAnsi="Times New Roman" w:cs="Times New Roman"/>
          <w:sz w:val="24"/>
          <w:szCs w:val="24"/>
        </w:rPr>
        <w:t xml:space="preserve"> lief.</w:t>
      </w:r>
      <w:r w:rsidR="007F4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F40" w:rsidRDefault="00EE0F40" w:rsidP="0076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B6" w:rsidRDefault="0096408A" w:rsidP="0076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24">
        <w:rPr>
          <w:rFonts w:ascii="Times New Roman" w:hAnsi="Times New Roman" w:cs="Times New Roman"/>
          <w:sz w:val="24"/>
          <w:szCs w:val="24"/>
        </w:rPr>
        <w:t xml:space="preserve">Wie konnte es dazu kommen? </w:t>
      </w:r>
      <w:r w:rsidR="00231C26" w:rsidRPr="00760B24">
        <w:rPr>
          <w:rFonts w:ascii="Times New Roman" w:hAnsi="Times New Roman" w:cs="Times New Roman"/>
          <w:sz w:val="24"/>
          <w:szCs w:val="24"/>
        </w:rPr>
        <w:t>P</w:t>
      </w:r>
      <w:r w:rsidR="00283ABF" w:rsidRPr="00760B24">
        <w:rPr>
          <w:rFonts w:ascii="Times New Roman" w:hAnsi="Times New Roman" w:cs="Times New Roman"/>
          <w:sz w:val="24"/>
          <w:szCs w:val="24"/>
        </w:rPr>
        <w:t xml:space="preserve">olitische Entscheidungen und Maßnahmen 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dominierten </w:t>
      </w:r>
      <w:r w:rsidR="004228CA">
        <w:rPr>
          <w:rFonts w:ascii="Times New Roman" w:hAnsi="Times New Roman" w:cs="Times New Roman"/>
          <w:sz w:val="24"/>
          <w:szCs w:val="24"/>
        </w:rPr>
        <w:t xml:space="preserve">bereits 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das </w:t>
      </w:r>
      <w:r w:rsidR="00283ABF" w:rsidRPr="00760B24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D15DB2" w:rsidRPr="00760B24">
        <w:rPr>
          <w:rFonts w:ascii="Times New Roman" w:hAnsi="Times New Roman" w:cs="Times New Roman"/>
          <w:sz w:val="24"/>
          <w:szCs w:val="24"/>
        </w:rPr>
        <w:t>der Corona-Epidemie</w:t>
      </w:r>
      <w:r w:rsidR="00283ABF" w:rsidRPr="00760B24">
        <w:rPr>
          <w:rFonts w:ascii="Times New Roman" w:hAnsi="Times New Roman" w:cs="Times New Roman"/>
          <w:sz w:val="24"/>
          <w:szCs w:val="24"/>
        </w:rPr>
        <w:t xml:space="preserve">; medizinische Expertise wurde </w:t>
      </w:r>
      <w:r w:rsidR="00187114">
        <w:rPr>
          <w:rFonts w:ascii="Times New Roman" w:hAnsi="Times New Roman" w:cs="Times New Roman"/>
          <w:sz w:val="24"/>
          <w:szCs w:val="24"/>
        </w:rPr>
        <w:t xml:space="preserve">mit Ausnahme virologischer Tunnelblicke 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anfangs </w:t>
      </w:r>
      <w:r w:rsidR="00283ABF" w:rsidRPr="00760B24">
        <w:rPr>
          <w:rFonts w:ascii="Times New Roman" w:hAnsi="Times New Roman" w:cs="Times New Roman"/>
          <w:sz w:val="24"/>
          <w:szCs w:val="24"/>
        </w:rPr>
        <w:t xml:space="preserve">nahezu 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komplett </w:t>
      </w:r>
      <w:r w:rsidR="00283ABF" w:rsidRPr="00760B24">
        <w:rPr>
          <w:rFonts w:ascii="Times New Roman" w:hAnsi="Times New Roman" w:cs="Times New Roman"/>
          <w:sz w:val="24"/>
          <w:szCs w:val="24"/>
        </w:rPr>
        <w:t xml:space="preserve">ausgeblendet. </w:t>
      </w:r>
      <w:r w:rsidR="00E91A35" w:rsidRPr="00760B24">
        <w:rPr>
          <w:rFonts w:ascii="Times New Roman" w:hAnsi="Times New Roman" w:cs="Times New Roman"/>
          <w:sz w:val="24"/>
          <w:szCs w:val="24"/>
        </w:rPr>
        <w:t>Zunächst</w:t>
      </w:r>
      <w:r w:rsidR="00C93144" w:rsidRPr="00760B24">
        <w:rPr>
          <w:rFonts w:ascii="Times New Roman" w:hAnsi="Times New Roman" w:cs="Times New Roman"/>
          <w:sz w:val="24"/>
          <w:szCs w:val="24"/>
        </w:rPr>
        <w:t xml:space="preserve"> gelang es aus der in </w:t>
      </w:r>
      <w:r w:rsidR="00E46D86" w:rsidRPr="00760B24">
        <w:rPr>
          <w:rFonts w:ascii="Times New Roman" w:hAnsi="Times New Roman" w:cs="Times New Roman"/>
          <w:sz w:val="24"/>
          <w:szCs w:val="24"/>
        </w:rPr>
        <w:t>über</w:t>
      </w:r>
      <w:r w:rsidR="00C93144" w:rsidRPr="00760B24">
        <w:rPr>
          <w:rFonts w:ascii="Times New Roman" w:hAnsi="Times New Roman" w:cs="Times New Roman"/>
          <w:sz w:val="24"/>
          <w:szCs w:val="24"/>
        </w:rPr>
        <w:t xml:space="preserve"> 80% leicht verlaufenden Infektion</w:t>
      </w:r>
      <w:r w:rsidR="00A71554" w:rsidRPr="00760B24">
        <w:rPr>
          <w:rFonts w:ascii="Times New Roman" w:hAnsi="Times New Roman" w:cs="Times New Roman"/>
          <w:sz w:val="24"/>
          <w:szCs w:val="24"/>
        </w:rPr>
        <w:t>serkrankung</w:t>
      </w:r>
      <w:r w:rsidR="008F5DE3" w:rsidRPr="00760B24">
        <w:rPr>
          <w:rFonts w:ascii="Times New Roman" w:hAnsi="Times New Roman" w:cs="Times New Roman"/>
          <w:sz w:val="24"/>
          <w:szCs w:val="24"/>
        </w:rPr>
        <w:t xml:space="preserve">, die neuesten CDC-Schätzungen zufolge </w:t>
      </w:r>
      <w:r w:rsidR="002A062E" w:rsidRPr="00760B24">
        <w:rPr>
          <w:rFonts w:ascii="Times New Roman" w:hAnsi="Times New Roman" w:cs="Times New Roman"/>
          <w:sz w:val="24"/>
          <w:szCs w:val="24"/>
        </w:rPr>
        <w:t xml:space="preserve">in den USA </w:t>
      </w:r>
      <w:r w:rsidR="008F5DE3" w:rsidRPr="00760B24">
        <w:rPr>
          <w:rFonts w:ascii="Times New Roman" w:hAnsi="Times New Roman" w:cs="Times New Roman"/>
          <w:sz w:val="24"/>
          <w:szCs w:val="24"/>
        </w:rPr>
        <w:t xml:space="preserve">in </w:t>
      </w:r>
      <w:r w:rsidR="00C95F44" w:rsidRPr="00760B24">
        <w:rPr>
          <w:rFonts w:ascii="Times New Roman" w:hAnsi="Times New Roman" w:cs="Times New Roman"/>
          <w:sz w:val="24"/>
          <w:szCs w:val="24"/>
        </w:rPr>
        <w:t xml:space="preserve">nicht mehr als </w:t>
      </w:r>
      <w:r w:rsidR="008F5DE3" w:rsidRPr="00760B24">
        <w:rPr>
          <w:rFonts w:ascii="Times New Roman" w:hAnsi="Times New Roman" w:cs="Times New Roman"/>
          <w:sz w:val="24"/>
          <w:szCs w:val="24"/>
        </w:rPr>
        <w:t>ca. 0,3%</w:t>
      </w:r>
      <w:r w:rsidR="00C95F44" w:rsidRPr="00760B24">
        <w:rPr>
          <w:rFonts w:ascii="Times New Roman" w:hAnsi="Times New Roman" w:cs="Times New Roman"/>
          <w:sz w:val="24"/>
          <w:szCs w:val="24"/>
        </w:rPr>
        <w:t xml:space="preserve"> </w:t>
      </w:r>
      <w:r w:rsidR="008F5DE3" w:rsidRPr="00760B24">
        <w:rPr>
          <w:rFonts w:ascii="Times New Roman" w:hAnsi="Times New Roman" w:cs="Times New Roman"/>
          <w:sz w:val="24"/>
          <w:szCs w:val="24"/>
        </w:rPr>
        <w:t>tödlich ausgeh</w:t>
      </w:r>
      <w:r w:rsidR="0043485D">
        <w:rPr>
          <w:rFonts w:ascii="Times New Roman" w:hAnsi="Times New Roman" w:cs="Times New Roman"/>
          <w:sz w:val="24"/>
          <w:szCs w:val="24"/>
        </w:rPr>
        <w:t>en kann</w:t>
      </w:r>
      <w:r w:rsidR="00C95F44" w:rsidRPr="00760B24">
        <w:rPr>
          <w:rFonts w:ascii="Times New Roman" w:hAnsi="Times New Roman" w:cs="Times New Roman"/>
          <w:sz w:val="24"/>
          <w:szCs w:val="24"/>
        </w:rPr>
        <w:t xml:space="preserve"> (1)</w:t>
      </w:r>
      <w:r w:rsidR="008F5DE3" w:rsidRPr="00760B24">
        <w:rPr>
          <w:rFonts w:ascii="Times New Roman" w:hAnsi="Times New Roman" w:cs="Times New Roman"/>
          <w:sz w:val="24"/>
          <w:szCs w:val="24"/>
        </w:rPr>
        <w:t xml:space="preserve">, </w:t>
      </w:r>
      <w:r w:rsidR="00C93144" w:rsidRPr="00760B24">
        <w:rPr>
          <w:rFonts w:ascii="Times New Roman" w:hAnsi="Times New Roman" w:cs="Times New Roman"/>
          <w:sz w:val="24"/>
          <w:szCs w:val="24"/>
        </w:rPr>
        <w:t xml:space="preserve">eine „todbringende Erkrankung“ zu kreieren, die nach </w:t>
      </w:r>
      <w:r w:rsidR="006C61F5" w:rsidRPr="00760B24">
        <w:rPr>
          <w:rFonts w:ascii="Times New Roman" w:hAnsi="Times New Roman" w:cs="Times New Roman"/>
          <w:sz w:val="24"/>
          <w:szCs w:val="24"/>
        </w:rPr>
        <w:t>rigoros</w:t>
      </w:r>
      <w:r w:rsidR="00C93144" w:rsidRPr="00760B24">
        <w:rPr>
          <w:rFonts w:ascii="Times New Roman" w:hAnsi="Times New Roman" w:cs="Times New Roman"/>
          <w:sz w:val="24"/>
          <w:szCs w:val="24"/>
        </w:rPr>
        <w:t>e</w:t>
      </w:r>
      <w:r w:rsidR="00C25D11" w:rsidRPr="00760B24">
        <w:rPr>
          <w:rFonts w:ascii="Times New Roman" w:hAnsi="Times New Roman" w:cs="Times New Roman"/>
          <w:sz w:val="24"/>
          <w:szCs w:val="24"/>
        </w:rPr>
        <w:t>n</w:t>
      </w:r>
      <w:r w:rsidR="006C61F5" w:rsidRPr="00760B24">
        <w:rPr>
          <w:rFonts w:ascii="Times New Roman" w:hAnsi="Times New Roman" w:cs="Times New Roman"/>
          <w:sz w:val="24"/>
          <w:szCs w:val="24"/>
        </w:rPr>
        <w:t xml:space="preserve"> </w:t>
      </w:r>
      <w:r w:rsidR="00C93144" w:rsidRPr="00760B24">
        <w:rPr>
          <w:rFonts w:ascii="Times New Roman" w:hAnsi="Times New Roman" w:cs="Times New Roman"/>
          <w:sz w:val="24"/>
          <w:szCs w:val="24"/>
        </w:rPr>
        <w:t>Maßnahmen heischte.</w:t>
      </w:r>
      <w:r w:rsidR="00C25D11" w:rsidRPr="00760B24">
        <w:rPr>
          <w:rFonts w:ascii="Times New Roman" w:hAnsi="Times New Roman" w:cs="Times New Roman"/>
          <w:sz w:val="24"/>
          <w:szCs w:val="24"/>
        </w:rPr>
        <w:t xml:space="preserve"> </w:t>
      </w:r>
      <w:r w:rsidR="00F81A3B" w:rsidRPr="00760B24">
        <w:rPr>
          <w:rFonts w:ascii="Times New Roman" w:hAnsi="Times New Roman" w:cs="Times New Roman"/>
          <w:sz w:val="24"/>
          <w:szCs w:val="24"/>
        </w:rPr>
        <w:t xml:space="preserve">Den Wandel von einer 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blanden </w:t>
      </w:r>
      <w:r w:rsidR="00F81A3B" w:rsidRPr="00760B24">
        <w:rPr>
          <w:rFonts w:ascii="Times New Roman" w:hAnsi="Times New Roman" w:cs="Times New Roman"/>
          <w:sz w:val="24"/>
          <w:szCs w:val="24"/>
        </w:rPr>
        <w:t xml:space="preserve">infektiösen Atemwegserkrankung mit </w:t>
      </w:r>
      <w:r w:rsidR="007B43ED">
        <w:rPr>
          <w:rFonts w:ascii="Times New Roman" w:hAnsi="Times New Roman" w:cs="Times New Roman"/>
          <w:sz w:val="24"/>
          <w:szCs w:val="24"/>
        </w:rPr>
        <w:t>unerwartet häufiger</w:t>
      </w:r>
      <w:r w:rsidR="00F81A3B" w:rsidRPr="00760B24">
        <w:rPr>
          <w:rFonts w:ascii="Times New Roman" w:hAnsi="Times New Roman" w:cs="Times New Roman"/>
          <w:sz w:val="24"/>
          <w:szCs w:val="24"/>
        </w:rPr>
        <w:t xml:space="preserve"> Organbeteiligung zu einer lebensbedrohlichen </w:t>
      </w:r>
      <w:r w:rsidR="00231C26" w:rsidRPr="00760B24">
        <w:rPr>
          <w:rFonts w:ascii="Times New Roman" w:hAnsi="Times New Roman" w:cs="Times New Roman"/>
          <w:sz w:val="24"/>
          <w:szCs w:val="24"/>
        </w:rPr>
        <w:t>„Killer“-</w:t>
      </w:r>
      <w:r w:rsidR="00F81A3B" w:rsidRPr="00760B24">
        <w:rPr>
          <w:rFonts w:ascii="Times New Roman" w:hAnsi="Times New Roman" w:cs="Times New Roman"/>
          <w:sz w:val="24"/>
          <w:szCs w:val="24"/>
        </w:rPr>
        <w:t>Infektion begleitete das Strategiepapier des BMI vom März 2020</w:t>
      </w:r>
      <w:r w:rsidR="00E410FA">
        <w:rPr>
          <w:rFonts w:ascii="Times New Roman" w:hAnsi="Times New Roman" w:cs="Times New Roman"/>
          <w:sz w:val="24"/>
          <w:szCs w:val="24"/>
        </w:rPr>
        <w:t xml:space="preserve"> (2)</w:t>
      </w:r>
      <w:r w:rsidR="00F81A3B" w:rsidRPr="00760B24">
        <w:rPr>
          <w:rFonts w:ascii="Times New Roman" w:hAnsi="Times New Roman" w:cs="Times New Roman"/>
          <w:sz w:val="24"/>
          <w:szCs w:val="24"/>
        </w:rPr>
        <w:t>.</w:t>
      </w:r>
      <w:r w:rsidR="00602B4E" w:rsidRPr="00760B24">
        <w:rPr>
          <w:rFonts w:ascii="Times New Roman" w:hAnsi="Times New Roman" w:cs="Times New Roman"/>
          <w:sz w:val="24"/>
          <w:szCs w:val="24"/>
        </w:rPr>
        <w:t xml:space="preserve"> Das weltfremde und offensichtlich medizinisch unerfahrene (Experten)-Verfasser-Team befaßte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 sich fast </w:t>
      </w:r>
      <w:r w:rsidR="00602B4E" w:rsidRPr="00760B24">
        <w:rPr>
          <w:rFonts w:ascii="Times New Roman" w:hAnsi="Times New Roman" w:cs="Times New Roman"/>
          <w:sz w:val="24"/>
          <w:szCs w:val="24"/>
        </w:rPr>
        <w:t>ausschließlich mit einem drohenden „worst case“</w:t>
      </w:r>
      <w:r w:rsidR="001C6460">
        <w:rPr>
          <w:rFonts w:ascii="Times New Roman" w:hAnsi="Times New Roman" w:cs="Times New Roman"/>
          <w:sz w:val="24"/>
          <w:szCs w:val="24"/>
        </w:rPr>
        <w:t>-</w:t>
      </w:r>
      <w:r w:rsidR="00602B4E" w:rsidRPr="00760B24">
        <w:rPr>
          <w:rFonts w:ascii="Times New Roman" w:hAnsi="Times New Roman" w:cs="Times New Roman"/>
          <w:sz w:val="24"/>
          <w:szCs w:val="24"/>
        </w:rPr>
        <w:t xml:space="preserve">Scenario. Vorrangig wurde an dessen Dramatisierung gearbeitet mit dem Ziel, die Bevölkerung durch drastischste Darstellungen auf Linie zu bringen. </w:t>
      </w:r>
      <w:r w:rsidR="002B0A1C" w:rsidRPr="00760B24">
        <w:rPr>
          <w:rFonts w:ascii="Times New Roman" w:hAnsi="Times New Roman" w:cs="Times New Roman"/>
          <w:sz w:val="24"/>
          <w:szCs w:val="24"/>
        </w:rPr>
        <w:t>Weder e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ine Berichtigung der </w:t>
      </w:r>
      <w:r w:rsidR="002B0A1C" w:rsidRPr="00760B24">
        <w:rPr>
          <w:rFonts w:ascii="Times New Roman" w:hAnsi="Times New Roman" w:cs="Times New Roman"/>
          <w:sz w:val="24"/>
          <w:szCs w:val="24"/>
        </w:rPr>
        <w:t>signifikant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 überhöhten Fall</w:t>
      </w:r>
      <w:r w:rsidR="00423E6D" w:rsidRPr="00760B24">
        <w:rPr>
          <w:rFonts w:ascii="Times New Roman" w:hAnsi="Times New Roman" w:cs="Times New Roman"/>
          <w:sz w:val="24"/>
          <w:szCs w:val="24"/>
        </w:rPr>
        <w:t>zahl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-Kalkulation </w:t>
      </w:r>
      <w:r w:rsidR="002B0A1C" w:rsidRPr="00760B24">
        <w:rPr>
          <w:rFonts w:ascii="Times New Roman" w:hAnsi="Times New Roman" w:cs="Times New Roman"/>
          <w:sz w:val="24"/>
          <w:szCs w:val="24"/>
        </w:rPr>
        <w:t>noch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 eine Entschuldigung gegenüber der völlig verängstigten Bevölkerung erfolgte</w:t>
      </w:r>
      <w:r w:rsidR="002B0A1C" w:rsidRPr="00760B24">
        <w:rPr>
          <w:rFonts w:ascii="Times New Roman" w:hAnsi="Times New Roman" w:cs="Times New Roman"/>
          <w:sz w:val="24"/>
          <w:szCs w:val="24"/>
        </w:rPr>
        <w:t>n</w:t>
      </w:r>
      <w:r w:rsidR="00231C26" w:rsidRPr="00760B24">
        <w:rPr>
          <w:rFonts w:ascii="Times New Roman" w:hAnsi="Times New Roman" w:cs="Times New Roman"/>
          <w:sz w:val="24"/>
          <w:szCs w:val="24"/>
        </w:rPr>
        <w:t xml:space="preserve"> bis heute. </w:t>
      </w:r>
      <w:r w:rsidR="002B0A1C" w:rsidRPr="00760B24">
        <w:rPr>
          <w:rFonts w:ascii="Times New Roman" w:hAnsi="Times New Roman" w:cs="Times New Roman"/>
          <w:sz w:val="24"/>
          <w:szCs w:val="24"/>
        </w:rPr>
        <w:t>Im Sinne der „Geschlossenheit der Kommunikation“ paßten die über Monate hinweg vom</w:t>
      </w:r>
      <w:r w:rsidR="001F4EED" w:rsidRPr="00760B24">
        <w:rPr>
          <w:rFonts w:ascii="Times New Roman" w:hAnsi="Times New Roman" w:cs="Times New Roman"/>
          <w:sz w:val="24"/>
          <w:szCs w:val="24"/>
        </w:rPr>
        <w:t xml:space="preserve"> RKI </w:t>
      </w:r>
      <w:r w:rsidR="002B0A1C" w:rsidRPr="00760B24">
        <w:rPr>
          <w:rFonts w:ascii="Times New Roman" w:hAnsi="Times New Roman" w:cs="Times New Roman"/>
          <w:sz w:val="24"/>
          <w:szCs w:val="24"/>
        </w:rPr>
        <w:t>gelieferten</w:t>
      </w:r>
      <w:r w:rsidR="0043485D">
        <w:rPr>
          <w:rFonts w:ascii="Times New Roman" w:hAnsi="Times New Roman" w:cs="Times New Roman"/>
          <w:sz w:val="24"/>
          <w:szCs w:val="24"/>
        </w:rPr>
        <w:t>,</w:t>
      </w:r>
      <w:r w:rsidR="002B0A1C" w:rsidRPr="00760B24">
        <w:rPr>
          <w:rFonts w:ascii="Times New Roman" w:hAnsi="Times New Roman" w:cs="Times New Roman"/>
          <w:sz w:val="24"/>
          <w:szCs w:val="24"/>
        </w:rPr>
        <w:t xml:space="preserve"> kumulierenden </w:t>
      </w:r>
      <w:r w:rsidR="009C78D8" w:rsidRPr="00760B24">
        <w:rPr>
          <w:rFonts w:ascii="Times New Roman" w:hAnsi="Times New Roman" w:cs="Times New Roman"/>
          <w:sz w:val="24"/>
          <w:szCs w:val="24"/>
        </w:rPr>
        <w:t>(PCR)</w:t>
      </w:r>
      <w:r w:rsidR="002B0A1C" w:rsidRPr="00760B24">
        <w:rPr>
          <w:rFonts w:ascii="Times New Roman" w:hAnsi="Times New Roman" w:cs="Times New Roman"/>
          <w:sz w:val="24"/>
          <w:szCs w:val="24"/>
        </w:rPr>
        <w:t xml:space="preserve">Laborwerte-Zahlen </w:t>
      </w:r>
      <w:r w:rsidR="009C78D8" w:rsidRPr="00760B24">
        <w:rPr>
          <w:rFonts w:ascii="Times New Roman" w:hAnsi="Times New Roman" w:cs="Times New Roman"/>
          <w:sz w:val="24"/>
          <w:szCs w:val="24"/>
        </w:rPr>
        <w:t>(ohne Bezugnahme auf alle Getesteten und ohne Subtraktion der Genesenen und Verstorbenen!</w:t>
      </w:r>
      <w:r w:rsidR="0043485D">
        <w:rPr>
          <w:rFonts w:ascii="Times New Roman" w:hAnsi="Times New Roman" w:cs="Times New Roman"/>
          <w:sz w:val="24"/>
          <w:szCs w:val="24"/>
        </w:rPr>
        <w:t xml:space="preserve"> (3)</w:t>
      </w:r>
      <w:r w:rsidR="009C78D8" w:rsidRPr="00760B24">
        <w:rPr>
          <w:rFonts w:ascii="Times New Roman" w:hAnsi="Times New Roman" w:cs="Times New Roman"/>
          <w:sz w:val="24"/>
          <w:szCs w:val="24"/>
        </w:rPr>
        <w:t xml:space="preserve">) </w:t>
      </w:r>
      <w:r w:rsidR="002B0A1C" w:rsidRPr="00760B24">
        <w:rPr>
          <w:rFonts w:ascii="Times New Roman" w:hAnsi="Times New Roman" w:cs="Times New Roman"/>
          <w:sz w:val="24"/>
          <w:szCs w:val="24"/>
        </w:rPr>
        <w:t xml:space="preserve">bestens ins Bild; die deutlich geringeren Zahlen der tatsächlich Erkrankten </w:t>
      </w:r>
      <w:r w:rsidR="009C78D8" w:rsidRPr="00760B24">
        <w:rPr>
          <w:rFonts w:ascii="Times New Roman" w:hAnsi="Times New Roman" w:cs="Times New Roman"/>
          <w:sz w:val="24"/>
          <w:szCs w:val="24"/>
        </w:rPr>
        <w:t xml:space="preserve">erreichten </w:t>
      </w:r>
      <w:r w:rsidR="001F4EED" w:rsidRPr="00760B24">
        <w:rPr>
          <w:rFonts w:ascii="Times New Roman" w:hAnsi="Times New Roman" w:cs="Times New Roman"/>
          <w:sz w:val="24"/>
          <w:szCs w:val="24"/>
        </w:rPr>
        <w:t xml:space="preserve">die </w:t>
      </w:r>
      <w:r w:rsidR="00423E6D" w:rsidRPr="00760B24">
        <w:rPr>
          <w:rFonts w:ascii="Times New Roman" w:hAnsi="Times New Roman" w:cs="Times New Roman"/>
          <w:sz w:val="24"/>
          <w:szCs w:val="24"/>
        </w:rPr>
        <w:t>Öffentlichkeit</w:t>
      </w:r>
      <w:r w:rsidR="009C78D8" w:rsidRPr="00760B24">
        <w:rPr>
          <w:rFonts w:ascii="Times New Roman" w:hAnsi="Times New Roman" w:cs="Times New Roman"/>
          <w:sz w:val="24"/>
          <w:szCs w:val="24"/>
        </w:rPr>
        <w:t xml:space="preserve"> nicht. </w:t>
      </w:r>
      <w:r w:rsidR="00C25D11" w:rsidRPr="00760B24">
        <w:rPr>
          <w:rFonts w:ascii="Times New Roman" w:hAnsi="Times New Roman" w:cs="Times New Roman"/>
          <w:sz w:val="24"/>
          <w:szCs w:val="24"/>
        </w:rPr>
        <w:t xml:space="preserve">Diesem Narrativ nicht folgende Informationen wurden ausgeblendet, unterbunden oder verteufelt. </w:t>
      </w:r>
      <w:r w:rsidR="001C6460">
        <w:rPr>
          <w:rFonts w:ascii="Times New Roman" w:hAnsi="Times New Roman" w:cs="Times New Roman"/>
          <w:sz w:val="24"/>
          <w:szCs w:val="24"/>
        </w:rPr>
        <w:t xml:space="preserve">Die unkritische Ärzteschaft folgte blindlings </w:t>
      </w:r>
      <w:r w:rsidR="006E0247">
        <w:rPr>
          <w:rFonts w:ascii="Times New Roman" w:hAnsi="Times New Roman" w:cs="Times New Roman"/>
          <w:sz w:val="24"/>
          <w:szCs w:val="24"/>
        </w:rPr>
        <w:t xml:space="preserve">den Anweisungen </w:t>
      </w:r>
      <w:r w:rsidR="001C6460">
        <w:rPr>
          <w:rFonts w:ascii="Times New Roman" w:hAnsi="Times New Roman" w:cs="Times New Roman"/>
          <w:sz w:val="24"/>
          <w:szCs w:val="24"/>
        </w:rPr>
        <w:t>sachunkundige</w:t>
      </w:r>
      <w:r w:rsidR="006E0247">
        <w:rPr>
          <w:rFonts w:ascii="Times New Roman" w:hAnsi="Times New Roman" w:cs="Times New Roman"/>
          <w:sz w:val="24"/>
          <w:szCs w:val="24"/>
        </w:rPr>
        <w:t>r</w:t>
      </w:r>
      <w:r w:rsidR="001C6460">
        <w:rPr>
          <w:rFonts w:ascii="Times New Roman" w:hAnsi="Times New Roman" w:cs="Times New Roman"/>
          <w:sz w:val="24"/>
          <w:szCs w:val="24"/>
        </w:rPr>
        <w:t xml:space="preserve"> Politiker. Der </w:t>
      </w:r>
      <w:r w:rsidR="00C46CFF">
        <w:rPr>
          <w:rFonts w:ascii="Times New Roman" w:hAnsi="Times New Roman" w:cs="Times New Roman"/>
          <w:sz w:val="24"/>
          <w:szCs w:val="24"/>
        </w:rPr>
        <w:t xml:space="preserve">ärztliche </w:t>
      </w:r>
      <w:r w:rsidR="001C6460">
        <w:rPr>
          <w:rFonts w:ascii="Times New Roman" w:hAnsi="Times New Roman" w:cs="Times New Roman"/>
          <w:sz w:val="24"/>
          <w:szCs w:val="24"/>
        </w:rPr>
        <w:t>Erfahrung</w:t>
      </w:r>
      <w:r w:rsidR="00C46CFF">
        <w:rPr>
          <w:rFonts w:ascii="Times New Roman" w:hAnsi="Times New Roman" w:cs="Times New Roman"/>
          <w:sz w:val="24"/>
          <w:szCs w:val="24"/>
        </w:rPr>
        <w:t xml:space="preserve">sschatz </w:t>
      </w:r>
      <w:r w:rsidR="001C6460">
        <w:rPr>
          <w:rFonts w:ascii="Times New Roman" w:hAnsi="Times New Roman" w:cs="Times New Roman"/>
          <w:sz w:val="24"/>
          <w:szCs w:val="24"/>
        </w:rPr>
        <w:t xml:space="preserve">im Umgang mit Epi-/Pandemien wie auch </w:t>
      </w:r>
      <w:r w:rsidR="00B804CD" w:rsidRPr="00760B24">
        <w:rPr>
          <w:rFonts w:ascii="Times New Roman" w:hAnsi="Times New Roman" w:cs="Times New Roman"/>
          <w:sz w:val="24"/>
          <w:szCs w:val="24"/>
        </w:rPr>
        <w:t xml:space="preserve">das Wissen </w:t>
      </w:r>
      <w:r w:rsidR="00997AB6" w:rsidRPr="00760B24">
        <w:rPr>
          <w:rFonts w:ascii="Times New Roman" w:hAnsi="Times New Roman" w:cs="Times New Roman"/>
          <w:sz w:val="24"/>
          <w:szCs w:val="24"/>
        </w:rPr>
        <w:t>über</w:t>
      </w:r>
      <w:r w:rsidR="00B804CD" w:rsidRPr="00760B24">
        <w:rPr>
          <w:rFonts w:ascii="Times New Roman" w:hAnsi="Times New Roman" w:cs="Times New Roman"/>
          <w:sz w:val="24"/>
          <w:szCs w:val="24"/>
        </w:rPr>
        <w:t xml:space="preserve"> </w:t>
      </w:r>
      <w:r w:rsidR="00616D9D" w:rsidRPr="00760B24">
        <w:rPr>
          <w:rFonts w:ascii="Times New Roman" w:hAnsi="Times New Roman" w:cs="Times New Roman"/>
          <w:sz w:val="24"/>
          <w:szCs w:val="24"/>
        </w:rPr>
        <w:t xml:space="preserve">die </w:t>
      </w:r>
      <w:r w:rsidR="00423E6D" w:rsidRPr="00760B24">
        <w:rPr>
          <w:rFonts w:ascii="Times New Roman" w:hAnsi="Times New Roman" w:cs="Times New Roman"/>
          <w:sz w:val="24"/>
          <w:szCs w:val="24"/>
        </w:rPr>
        <w:t xml:space="preserve">Eigendynamik bzw. </w:t>
      </w:r>
      <w:r w:rsidR="00B804CD" w:rsidRPr="00760B24">
        <w:rPr>
          <w:rFonts w:ascii="Times New Roman" w:hAnsi="Times New Roman" w:cs="Times New Roman"/>
          <w:sz w:val="24"/>
          <w:szCs w:val="24"/>
        </w:rPr>
        <w:t xml:space="preserve">Selbstbegrenzung einer jeden Epi-/Pandemie, </w:t>
      </w:r>
      <w:r w:rsidR="00616D9D" w:rsidRPr="00760B24">
        <w:rPr>
          <w:rFonts w:ascii="Times New Roman" w:hAnsi="Times New Roman" w:cs="Times New Roman"/>
          <w:sz w:val="24"/>
          <w:szCs w:val="24"/>
        </w:rPr>
        <w:t>über</w:t>
      </w:r>
      <w:r w:rsidR="00E410FA">
        <w:rPr>
          <w:rFonts w:ascii="Times New Roman" w:hAnsi="Times New Roman" w:cs="Times New Roman"/>
          <w:sz w:val="24"/>
          <w:szCs w:val="24"/>
        </w:rPr>
        <w:t xml:space="preserve"> Vergleiche mit anderen Epidemien, </w:t>
      </w:r>
      <w:r w:rsidR="00616D9D" w:rsidRPr="00760B24">
        <w:rPr>
          <w:rFonts w:ascii="Times New Roman" w:hAnsi="Times New Roman" w:cs="Times New Roman"/>
          <w:sz w:val="24"/>
          <w:szCs w:val="24"/>
        </w:rPr>
        <w:t xml:space="preserve"> die Infektiosität der Erreger sowie über </w:t>
      </w:r>
      <w:r w:rsidR="00B804CD" w:rsidRPr="00760B24">
        <w:rPr>
          <w:rFonts w:ascii="Times New Roman" w:hAnsi="Times New Roman" w:cs="Times New Roman"/>
          <w:sz w:val="24"/>
          <w:szCs w:val="24"/>
        </w:rPr>
        <w:t xml:space="preserve">Kenntnisse </w:t>
      </w:r>
      <w:r w:rsidR="00997AB6" w:rsidRPr="00760B24">
        <w:rPr>
          <w:rFonts w:ascii="Times New Roman" w:hAnsi="Times New Roman" w:cs="Times New Roman"/>
          <w:sz w:val="24"/>
          <w:szCs w:val="24"/>
        </w:rPr>
        <w:t>zur</w:t>
      </w:r>
      <w:r w:rsidR="00B804CD" w:rsidRPr="00760B24">
        <w:rPr>
          <w:rFonts w:ascii="Times New Roman" w:hAnsi="Times New Roman" w:cs="Times New Roman"/>
          <w:sz w:val="24"/>
          <w:szCs w:val="24"/>
        </w:rPr>
        <w:t xml:space="preserve"> Immunität, Kreuzresistenz</w:t>
      </w:r>
      <w:r w:rsidR="00616D9D" w:rsidRPr="00760B24">
        <w:rPr>
          <w:rFonts w:ascii="Times New Roman" w:hAnsi="Times New Roman" w:cs="Times New Roman"/>
          <w:sz w:val="24"/>
          <w:szCs w:val="24"/>
        </w:rPr>
        <w:t xml:space="preserve"> und</w:t>
      </w:r>
      <w:r w:rsidR="00B804CD" w:rsidRPr="00760B24">
        <w:rPr>
          <w:rFonts w:ascii="Times New Roman" w:hAnsi="Times New Roman" w:cs="Times New Roman"/>
          <w:sz w:val="24"/>
          <w:szCs w:val="24"/>
        </w:rPr>
        <w:t xml:space="preserve"> </w:t>
      </w:r>
      <w:r w:rsidR="00997AB6" w:rsidRPr="00760B24">
        <w:rPr>
          <w:rFonts w:ascii="Times New Roman" w:hAnsi="Times New Roman" w:cs="Times New Roman"/>
          <w:sz w:val="24"/>
          <w:szCs w:val="24"/>
        </w:rPr>
        <w:t xml:space="preserve">von </w:t>
      </w:r>
      <w:r w:rsidR="00B804CD" w:rsidRPr="00760B24">
        <w:rPr>
          <w:rFonts w:ascii="Times New Roman" w:hAnsi="Times New Roman" w:cs="Times New Roman"/>
          <w:sz w:val="24"/>
          <w:szCs w:val="24"/>
        </w:rPr>
        <w:t>präventive</w:t>
      </w:r>
      <w:r w:rsidR="00997AB6" w:rsidRPr="00760B24">
        <w:rPr>
          <w:rFonts w:ascii="Times New Roman" w:hAnsi="Times New Roman" w:cs="Times New Roman"/>
          <w:sz w:val="24"/>
          <w:szCs w:val="24"/>
        </w:rPr>
        <w:t>n</w:t>
      </w:r>
      <w:r w:rsidR="00B804CD" w:rsidRPr="00760B24">
        <w:rPr>
          <w:rFonts w:ascii="Times New Roman" w:hAnsi="Times New Roman" w:cs="Times New Roman"/>
          <w:sz w:val="24"/>
          <w:szCs w:val="24"/>
        </w:rPr>
        <w:t xml:space="preserve"> Maßnahmen</w:t>
      </w:r>
      <w:r w:rsidR="00C46CFF">
        <w:rPr>
          <w:rFonts w:ascii="Times New Roman" w:hAnsi="Times New Roman" w:cs="Times New Roman"/>
          <w:sz w:val="24"/>
          <w:szCs w:val="24"/>
        </w:rPr>
        <w:t xml:space="preserve"> blieben unberücksichtigt</w:t>
      </w:r>
      <w:r w:rsidR="00997AB6" w:rsidRPr="00760B24">
        <w:rPr>
          <w:rFonts w:ascii="Times New Roman" w:hAnsi="Times New Roman" w:cs="Times New Roman"/>
          <w:sz w:val="24"/>
          <w:szCs w:val="24"/>
        </w:rPr>
        <w:t xml:space="preserve">. </w:t>
      </w:r>
      <w:r w:rsidR="00923577" w:rsidRPr="00760B24">
        <w:rPr>
          <w:rFonts w:ascii="Times New Roman" w:hAnsi="Times New Roman" w:cs="Times New Roman"/>
          <w:sz w:val="24"/>
          <w:szCs w:val="24"/>
        </w:rPr>
        <w:t>D</w:t>
      </w:r>
      <w:r w:rsidR="00E46D86" w:rsidRPr="00760B24">
        <w:rPr>
          <w:rFonts w:ascii="Times New Roman" w:hAnsi="Times New Roman" w:cs="Times New Roman"/>
          <w:sz w:val="24"/>
          <w:szCs w:val="24"/>
        </w:rPr>
        <w:t xml:space="preserve">ie verunsicherte Bevölkerung erduldete, in Angststarre versetzt, </w:t>
      </w:r>
      <w:r w:rsidR="00721E5B" w:rsidRPr="00760B24">
        <w:rPr>
          <w:rFonts w:ascii="Times New Roman" w:hAnsi="Times New Roman" w:cs="Times New Roman"/>
          <w:sz w:val="24"/>
          <w:szCs w:val="24"/>
        </w:rPr>
        <w:t xml:space="preserve">nahezu widerstandslos </w:t>
      </w:r>
      <w:r w:rsidR="00E46D86" w:rsidRPr="00760B24">
        <w:rPr>
          <w:rFonts w:ascii="Times New Roman" w:hAnsi="Times New Roman" w:cs="Times New Roman"/>
          <w:sz w:val="24"/>
          <w:szCs w:val="24"/>
        </w:rPr>
        <w:t>die</w:t>
      </w:r>
      <w:r w:rsidR="00923577" w:rsidRPr="00760B24">
        <w:rPr>
          <w:rFonts w:ascii="Times New Roman" w:hAnsi="Times New Roman" w:cs="Times New Roman"/>
          <w:sz w:val="24"/>
          <w:szCs w:val="24"/>
        </w:rPr>
        <w:t xml:space="preserve"> allseits bekannten Lock</w:t>
      </w:r>
      <w:r w:rsidR="0043485D">
        <w:rPr>
          <w:rFonts w:ascii="Times New Roman" w:hAnsi="Times New Roman" w:cs="Times New Roman"/>
          <w:sz w:val="24"/>
          <w:szCs w:val="24"/>
        </w:rPr>
        <w:t>-D</w:t>
      </w:r>
      <w:r w:rsidR="00923577" w:rsidRPr="00760B24">
        <w:rPr>
          <w:rFonts w:ascii="Times New Roman" w:hAnsi="Times New Roman" w:cs="Times New Roman"/>
          <w:sz w:val="24"/>
          <w:szCs w:val="24"/>
        </w:rPr>
        <w:t>own</w:t>
      </w:r>
      <w:r w:rsidR="00E91A35" w:rsidRPr="00760B24">
        <w:rPr>
          <w:rFonts w:ascii="Times New Roman" w:hAnsi="Times New Roman" w:cs="Times New Roman"/>
          <w:sz w:val="24"/>
          <w:szCs w:val="24"/>
        </w:rPr>
        <w:t>-Maßnahmen; die</w:t>
      </w:r>
      <w:r w:rsidR="00E91A35">
        <w:rPr>
          <w:rFonts w:ascii="Times New Roman" w:hAnsi="Times New Roman" w:cs="Times New Roman"/>
          <w:sz w:val="24"/>
          <w:szCs w:val="24"/>
        </w:rPr>
        <w:t xml:space="preserve"> Erwartungen an den Einsatz eines erlösenden Impfstoffes </w:t>
      </w:r>
      <w:r w:rsidR="00F34846">
        <w:rPr>
          <w:rFonts w:ascii="Times New Roman" w:hAnsi="Times New Roman" w:cs="Times New Roman"/>
          <w:sz w:val="24"/>
          <w:szCs w:val="24"/>
        </w:rPr>
        <w:t xml:space="preserve">wurden befeuert und </w:t>
      </w:r>
      <w:r w:rsidR="00E91A35">
        <w:rPr>
          <w:rFonts w:ascii="Times New Roman" w:hAnsi="Times New Roman" w:cs="Times New Roman"/>
          <w:sz w:val="24"/>
          <w:szCs w:val="24"/>
        </w:rPr>
        <w:t>wuchsen</w:t>
      </w:r>
      <w:r w:rsidR="00F34846">
        <w:rPr>
          <w:rFonts w:ascii="Times New Roman" w:hAnsi="Times New Roman" w:cs="Times New Roman"/>
          <w:sz w:val="24"/>
          <w:szCs w:val="24"/>
        </w:rPr>
        <w:t xml:space="preserve"> </w:t>
      </w:r>
      <w:r w:rsidR="00E91A35">
        <w:rPr>
          <w:rFonts w:ascii="Times New Roman" w:hAnsi="Times New Roman" w:cs="Times New Roman"/>
          <w:sz w:val="24"/>
          <w:szCs w:val="24"/>
        </w:rPr>
        <w:t xml:space="preserve">ins Unermeßliche. </w:t>
      </w:r>
    </w:p>
    <w:p w:rsidR="00EE0F40" w:rsidRDefault="00EE0F40" w:rsidP="0076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B2" w:rsidRDefault="00B20244" w:rsidP="0069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A4DD2">
        <w:rPr>
          <w:rFonts w:ascii="Times New Roman" w:hAnsi="Times New Roman" w:cs="Times New Roman"/>
          <w:sz w:val="24"/>
          <w:szCs w:val="24"/>
        </w:rPr>
        <w:t>ie</w:t>
      </w:r>
      <w:r w:rsidR="006E3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Deklaration der besonderen Schwere </w:t>
      </w:r>
      <w:r w:rsidR="006E3C39">
        <w:rPr>
          <w:rFonts w:ascii="Times New Roman" w:hAnsi="Times New Roman" w:cs="Times New Roman"/>
          <w:sz w:val="24"/>
          <w:szCs w:val="24"/>
        </w:rPr>
        <w:t xml:space="preserve">des Krankheitsbildes </w:t>
      </w:r>
      <w:r w:rsidR="00AA4DD2">
        <w:rPr>
          <w:rFonts w:ascii="Times New Roman" w:hAnsi="Times New Roman" w:cs="Times New Roman"/>
          <w:sz w:val="24"/>
          <w:szCs w:val="24"/>
        </w:rPr>
        <w:t xml:space="preserve">und </w:t>
      </w: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="00AA4DD2">
        <w:rPr>
          <w:rFonts w:ascii="Times New Roman" w:hAnsi="Times New Roman" w:cs="Times New Roman"/>
          <w:sz w:val="24"/>
          <w:szCs w:val="24"/>
        </w:rPr>
        <w:t>zum damaligen Zeitpunkt angeblich fehlenden therapeutischen Alternativen</w:t>
      </w:r>
      <w:r>
        <w:rPr>
          <w:rFonts w:ascii="Times New Roman" w:hAnsi="Times New Roman" w:cs="Times New Roman"/>
          <w:sz w:val="24"/>
          <w:szCs w:val="24"/>
        </w:rPr>
        <w:t xml:space="preserve"> waren </w:t>
      </w:r>
      <w:r w:rsidR="00E410FA">
        <w:rPr>
          <w:rFonts w:ascii="Times New Roman" w:hAnsi="Times New Roman" w:cs="Times New Roman"/>
          <w:sz w:val="24"/>
          <w:szCs w:val="24"/>
        </w:rPr>
        <w:t xml:space="preserve">nicht nur </w:t>
      </w:r>
      <w:r w:rsidR="00D01247">
        <w:rPr>
          <w:rFonts w:ascii="Times New Roman" w:hAnsi="Times New Roman" w:cs="Times New Roman"/>
          <w:sz w:val="24"/>
          <w:szCs w:val="24"/>
        </w:rPr>
        <w:t xml:space="preserve">die geschaffenen </w:t>
      </w:r>
      <w:r>
        <w:rPr>
          <w:rFonts w:ascii="Times New Roman" w:hAnsi="Times New Roman" w:cs="Times New Roman"/>
          <w:sz w:val="24"/>
          <w:szCs w:val="24"/>
        </w:rPr>
        <w:t xml:space="preserve"> Voraussetzungen für </w:t>
      </w:r>
      <w:r w:rsidR="00D01247">
        <w:rPr>
          <w:rFonts w:ascii="Times New Roman" w:hAnsi="Times New Roman" w:cs="Times New Roman"/>
          <w:sz w:val="24"/>
          <w:szCs w:val="24"/>
        </w:rPr>
        <w:t xml:space="preserve">die </w:t>
      </w:r>
      <w:r w:rsidR="00E410FA">
        <w:rPr>
          <w:rFonts w:ascii="Times New Roman" w:hAnsi="Times New Roman" w:cs="Times New Roman"/>
          <w:sz w:val="24"/>
          <w:szCs w:val="24"/>
        </w:rPr>
        <w:t xml:space="preserve">Einleitung unverhältnismäßiger Lock-Down-Maßnahmen, sondern auch für die </w:t>
      </w:r>
      <w:r w:rsidR="00D01247">
        <w:rPr>
          <w:rFonts w:ascii="Times New Roman" w:hAnsi="Times New Roman" w:cs="Times New Roman"/>
          <w:sz w:val="24"/>
          <w:szCs w:val="24"/>
        </w:rPr>
        <w:t>Nutzung d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D01247">
        <w:rPr>
          <w:rFonts w:ascii="Times New Roman" w:hAnsi="Times New Roman" w:cs="Times New Roman"/>
          <w:sz w:val="24"/>
          <w:szCs w:val="24"/>
        </w:rPr>
        <w:t>bestehenden,</w:t>
      </w:r>
      <w:r>
        <w:rPr>
          <w:rFonts w:ascii="Times New Roman" w:hAnsi="Times New Roman" w:cs="Times New Roman"/>
          <w:sz w:val="24"/>
          <w:szCs w:val="24"/>
        </w:rPr>
        <w:t xml:space="preserve"> extrem verkürzten</w:t>
      </w:r>
      <w:r w:rsidR="00FF5825">
        <w:rPr>
          <w:rFonts w:ascii="Times New Roman" w:hAnsi="Times New Roman" w:cs="Times New Roman"/>
          <w:sz w:val="24"/>
          <w:szCs w:val="24"/>
        </w:rPr>
        <w:t xml:space="preserve">, europäischen </w:t>
      </w:r>
      <w:r w:rsidR="00721E5B">
        <w:rPr>
          <w:rFonts w:ascii="Times New Roman" w:hAnsi="Times New Roman" w:cs="Times New Roman"/>
          <w:sz w:val="24"/>
          <w:szCs w:val="24"/>
        </w:rPr>
        <w:t xml:space="preserve">CMA (conditional marketing authorisation) </w:t>
      </w:r>
      <w:r>
        <w:rPr>
          <w:rFonts w:ascii="Times New Roman" w:hAnsi="Times New Roman" w:cs="Times New Roman"/>
          <w:sz w:val="24"/>
          <w:szCs w:val="24"/>
        </w:rPr>
        <w:t>Zulassungsprozedere</w:t>
      </w:r>
      <w:r w:rsidR="00721E5B">
        <w:rPr>
          <w:rFonts w:ascii="Times New Roman" w:hAnsi="Times New Roman" w:cs="Times New Roman"/>
          <w:sz w:val="24"/>
          <w:szCs w:val="24"/>
        </w:rPr>
        <w:t xml:space="preserve">. </w:t>
      </w:r>
      <w:r w:rsidR="00D01247">
        <w:rPr>
          <w:rFonts w:ascii="Times New Roman" w:hAnsi="Times New Roman" w:cs="Times New Roman"/>
          <w:sz w:val="24"/>
          <w:szCs w:val="24"/>
        </w:rPr>
        <w:t xml:space="preserve"> </w:t>
      </w:r>
      <w:r w:rsidR="00721E5B">
        <w:rPr>
          <w:rFonts w:ascii="Times New Roman" w:hAnsi="Times New Roman" w:cs="Times New Roman"/>
          <w:sz w:val="24"/>
          <w:szCs w:val="24"/>
        </w:rPr>
        <w:t>So konnte de</w:t>
      </w:r>
      <w:r w:rsidR="00246817">
        <w:rPr>
          <w:rFonts w:ascii="Times New Roman" w:hAnsi="Times New Roman" w:cs="Times New Roman"/>
          <w:sz w:val="24"/>
          <w:szCs w:val="24"/>
        </w:rPr>
        <w:t>r erste</w:t>
      </w:r>
      <w:r w:rsidR="00067364" w:rsidRPr="00067364">
        <w:rPr>
          <w:rFonts w:ascii="Times New Roman" w:hAnsi="Times New Roman" w:cs="Times New Roman"/>
          <w:sz w:val="24"/>
          <w:szCs w:val="24"/>
        </w:rPr>
        <w:t xml:space="preserve"> </w:t>
      </w:r>
      <w:r w:rsidR="00067364">
        <w:rPr>
          <w:rFonts w:ascii="Times New Roman" w:hAnsi="Times New Roman" w:cs="Times New Roman"/>
          <w:sz w:val="24"/>
          <w:szCs w:val="24"/>
        </w:rPr>
        <w:t>unausgereifte</w:t>
      </w:r>
      <w:r w:rsidR="00D01247">
        <w:rPr>
          <w:rFonts w:ascii="Times New Roman" w:hAnsi="Times New Roman" w:cs="Times New Roman"/>
          <w:sz w:val="24"/>
          <w:szCs w:val="24"/>
        </w:rPr>
        <w:t>,</w:t>
      </w:r>
      <w:r w:rsidR="00246817">
        <w:rPr>
          <w:rFonts w:ascii="Times New Roman" w:hAnsi="Times New Roman" w:cs="Times New Roman"/>
          <w:sz w:val="24"/>
          <w:szCs w:val="24"/>
        </w:rPr>
        <w:t xml:space="preserve"> bedingt </w:t>
      </w:r>
      <w:r w:rsidR="00246817">
        <w:rPr>
          <w:rFonts w:ascii="Times New Roman" w:hAnsi="Times New Roman" w:cs="Times New Roman"/>
          <w:sz w:val="24"/>
          <w:szCs w:val="24"/>
        </w:rPr>
        <w:lastRenderedPageBreak/>
        <w:t>zugelassene</w:t>
      </w:r>
      <w:r w:rsidR="005C2EBE">
        <w:rPr>
          <w:rFonts w:ascii="Times New Roman" w:hAnsi="Times New Roman" w:cs="Times New Roman"/>
          <w:sz w:val="24"/>
          <w:szCs w:val="24"/>
        </w:rPr>
        <w:t xml:space="preserve"> </w:t>
      </w:r>
      <w:r w:rsidR="00721E5B">
        <w:rPr>
          <w:rFonts w:ascii="Times New Roman" w:hAnsi="Times New Roman" w:cs="Times New Roman"/>
          <w:sz w:val="24"/>
          <w:szCs w:val="24"/>
        </w:rPr>
        <w:t xml:space="preserve">Covid-19-Impfstoff </w:t>
      </w:r>
      <w:r w:rsidR="00246817">
        <w:rPr>
          <w:rFonts w:ascii="Times New Roman" w:hAnsi="Times New Roman" w:cs="Times New Roman"/>
          <w:sz w:val="24"/>
          <w:szCs w:val="24"/>
        </w:rPr>
        <w:t xml:space="preserve">nach nur einjähriger Entwicklungszeit </w:t>
      </w:r>
      <w:r w:rsidR="00D01247">
        <w:rPr>
          <w:rFonts w:ascii="Times New Roman" w:hAnsi="Times New Roman" w:cs="Times New Roman"/>
          <w:sz w:val="24"/>
          <w:szCs w:val="24"/>
        </w:rPr>
        <w:t xml:space="preserve">bereits </w:t>
      </w:r>
      <w:r w:rsidR="00246817">
        <w:rPr>
          <w:rFonts w:ascii="Times New Roman" w:hAnsi="Times New Roman" w:cs="Times New Roman"/>
          <w:sz w:val="24"/>
          <w:szCs w:val="24"/>
        </w:rPr>
        <w:t xml:space="preserve">ab Ende </w:t>
      </w:r>
      <w:r w:rsidR="007B43ED">
        <w:rPr>
          <w:rFonts w:ascii="Times New Roman" w:hAnsi="Times New Roman" w:cs="Times New Roman"/>
          <w:sz w:val="24"/>
          <w:szCs w:val="24"/>
        </w:rPr>
        <w:t xml:space="preserve">Dezember </w:t>
      </w:r>
      <w:r w:rsidR="00246817">
        <w:rPr>
          <w:rFonts w:ascii="Times New Roman" w:hAnsi="Times New Roman" w:cs="Times New Roman"/>
          <w:sz w:val="24"/>
          <w:szCs w:val="24"/>
        </w:rPr>
        <w:t xml:space="preserve">2020 </w:t>
      </w:r>
      <w:r w:rsidR="00FF5825">
        <w:rPr>
          <w:rFonts w:ascii="Times New Roman" w:hAnsi="Times New Roman" w:cs="Times New Roman"/>
          <w:sz w:val="24"/>
          <w:szCs w:val="24"/>
        </w:rPr>
        <w:t xml:space="preserve">auch in Deutschland </w:t>
      </w:r>
      <w:r w:rsidR="00246817">
        <w:rPr>
          <w:rFonts w:ascii="Times New Roman" w:hAnsi="Times New Roman" w:cs="Times New Roman"/>
          <w:sz w:val="24"/>
          <w:szCs w:val="24"/>
        </w:rPr>
        <w:t>verimpft werden.</w:t>
      </w:r>
      <w:r w:rsidR="00A34404">
        <w:rPr>
          <w:rFonts w:ascii="Times New Roman" w:hAnsi="Times New Roman" w:cs="Times New Roman"/>
          <w:sz w:val="24"/>
          <w:szCs w:val="24"/>
        </w:rPr>
        <w:t xml:space="preserve"> Von der Haftung für Impfschäden </w:t>
      </w:r>
      <w:r w:rsidR="007C1ADF">
        <w:rPr>
          <w:rFonts w:ascii="Times New Roman" w:hAnsi="Times New Roman" w:cs="Times New Roman"/>
          <w:sz w:val="24"/>
          <w:szCs w:val="24"/>
        </w:rPr>
        <w:t>w</w:t>
      </w:r>
      <w:r w:rsidR="00423E6D">
        <w:rPr>
          <w:rFonts w:ascii="Times New Roman" w:hAnsi="Times New Roman" w:cs="Times New Roman"/>
          <w:sz w:val="24"/>
          <w:szCs w:val="24"/>
        </w:rPr>
        <w:t>ar</w:t>
      </w:r>
      <w:r w:rsidR="00A34404">
        <w:rPr>
          <w:rFonts w:ascii="Times New Roman" w:hAnsi="Times New Roman" w:cs="Times New Roman"/>
          <w:sz w:val="24"/>
          <w:szCs w:val="24"/>
        </w:rPr>
        <w:t>en die Hersteller</w:t>
      </w:r>
      <w:r w:rsidR="007C1ADF">
        <w:rPr>
          <w:rFonts w:ascii="Times New Roman" w:hAnsi="Times New Roman" w:cs="Times New Roman"/>
          <w:sz w:val="24"/>
          <w:szCs w:val="24"/>
        </w:rPr>
        <w:t xml:space="preserve"> seit Mai 2020 </w:t>
      </w:r>
      <w:r w:rsidR="00423E6D">
        <w:rPr>
          <w:rFonts w:ascii="Times New Roman" w:hAnsi="Times New Roman" w:cs="Times New Roman"/>
          <w:sz w:val="24"/>
          <w:szCs w:val="24"/>
        </w:rPr>
        <w:t xml:space="preserve">von vornherein </w:t>
      </w:r>
      <w:r w:rsidR="007C1ADF">
        <w:rPr>
          <w:rFonts w:ascii="Times New Roman" w:hAnsi="Times New Roman" w:cs="Times New Roman"/>
          <w:sz w:val="24"/>
          <w:szCs w:val="24"/>
        </w:rPr>
        <w:t xml:space="preserve">deutlich </w:t>
      </w:r>
      <w:r w:rsidR="007369A5">
        <w:rPr>
          <w:rFonts w:ascii="Times New Roman" w:hAnsi="Times New Roman" w:cs="Times New Roman"/>
          <w:sz w:val="24"/>
          <w:szCs w:val="24"/>
        </w:rPr>
        <w:t>entlastet</w:t>
      </w:r>
      <w:r w:rsidR="00E46D86">
        <w:rPr>
          <w:rFonts w:ascii="Times New Roman" w:hAnsi="Times New Roman" w:cs="Times New Roman"/>
          <w:sz w:val="24"/>
          <w:szCs w:val="24"/>
        </w:rPr>
        <w:t xml:space="preserve"> </w:t>
      </w:r>
      <w:r w:rsidR="00FF5825">
        <w:rPr>
          <w:rFonts w:ascii="Times New Roman" w:hAnsi="Times New Roman" w:cs="Times New Roman"/>
          <w:sz w:val="24"/>
          <w:szCs w:val="24"/>
        </w:rPr>
        <w:t xml:space="preserve">worden </w:t>
      </w:r>
      <w:r w:rsidR="00E46D86">
        <w:rPr>
          <w:rFonts w:ascii="Times New Roman" w:hAnsi="Times New Roman" w:cs="Times New Roman"/>
          <w:sz w:val="24"/>
          <w:szCs w:val="24"/>
        </w:rPr>
        <w:t>(MedBVSV, §3(4)</w:t>
      </w:r>
      <w:r w:rsidR="00423E6D">
        <w:rPr>
          <w:rFonts w:ascii="Times New Roman" w:hAnsi="Times New Roman" w:cs="Times New Roman"/>
          <w:sz w:val="24"/>
          <w:szCs w:val="24"/>
        </w:rPr>
        <w:t xml:space="preserve"> des BMG</w:t>
      </w:r>
      <w:r w:rsidR="00E46D86">
        <w:rPr>
          <w:rFonts w:ascii="Times New Roman" w:hAnsi="Times New Roman" w:cs="Times New Roman"/>
          <w:sz w:val="24"/>
          <w:szCs w:val="24"/>
        </w:rPr>
        <w:t>)</w:t>
      </w:r>
      <w:r w:rsidR="00693B7C" w:rsidRPr="00693B7C">
        <w:rPr>
          <w:rFonts w:ascii="Times New Roman" w:hAnsi="Times New Roman" w:cs="Times New Roman"/>
          <w:sz w:val="24"/>
          <w:szCs w:val="24"/>
        </w:rPr>
        <w:t>; die Haftung für fehlerhafte Produkte nach den Vorschriften des Produkthaftungsgesetzes</w:t>
      </w:r>
      <w:r w:rsidR="00721E5B">
        <w:rPr>
          <w:rFonts w:ascii="Times New Roman" w:hAnsi="Times New Roman" w:cs="Times New Roman"/>
          <w:sz w:val="24"/>
          <w:szCs w:val="24"/>
        </w:rPr>
        <w:t xml:space="preserve"> blieb </w:t>
      </w:r>
      <w:r w:rsidR="00693B7C" w:rsidRPr="00693B7C">
        <w:rPr>
          <w:rFonts w:ascii="Times New Roman" w:hAnsi="Times New Roman" w:cs="Times New Roman"/>
          <w:sz w:val="24"/>
          <w:szCs w:val="24"/>
        </w:rPr>
        <w:t>unberührt</w:t>
      </w:r>
      <w:r w:rsidR="007369A5">
        <w:rPr>
          <w:rFonts w:ascii="Times New Roman" w:hAnsi="Times New Roman" w:cs="Times New Roman"/>
          <w:sz w:val="24"/>
          <w:szCs w:val="24"/>
        </w:rPr>
        <w:t xml:space="preserve"> </w:t>
      </w:r>
      <w:r w:rsidR="00721E5B">
        <w:rPr>
          <w:rFonts w:ascii="Times New Roman" w:hAnsi="Times New Roman" w:cs="Times New Roman"/>
          <w:sz w:val="24"/>
          <w:szCs w:val="24"/>
        </w:rPr>
        <w:t>(</w:t>
      </w:r>
      <w:r w:rsidR="001F53A0">
        <w:rPr>
          <w:rFonts w:ascii="Times New Roman" w:hAnsi="Times New Roman" w:cs="Times New Roman"/>
          <w:sz w:val="24"/>
          <w:szCs w:val="24"/>
        </w:rPr>
        <w:t>ProdHaftG</w:t>
      </w:r>
      <w:r w:rsidR="007369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46817" w:rsidRDefault="00246817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DD8" w:rsidRDefault="00FF5825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 das </w:t>
      </w:r>
      <w:r w:rsidR="008B15FA">
        <w:rPr>
          <w:rFonts w:ascii="Times New Roman" w:hAnsi="Times New Roman" w:cs="Times New Roman"/>
          <w:sz w:val="24"/>
          <w:szCs w:val="24"/>
        </w:rPr>
        <w:t>Wesen d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8B15FA">
        <w:rPr>
          <w:rFonts w:ascii="Times New Roman" w:hAnsi="Times New Roman" w:cs="Times New Roman"/>
          <w:sz w:val="24"/>
          <w:szCs w:val="24"/>
        </w:rPr>
        <w:t xml:space="preserve">er </w:t>
      </w:r>
      <w:r w:rsidR="00721E5B">
        <w:rPr>
          <w:rFonts w:ascii="Times New Roman" w:hAnsi="Times New Roman" w:cs="Times New Roman"/>
          <w:sz w:val="24"/>
          <w:szCs w:val="24"/>
        </w:rPr>
        <w:t>neuartigen</w:t>
      </w:r>
      <w:r w:rsidR="00187B17">
        <w:rPr>
          <w:rFonts w:ascii="Times New Roman" w:hAnsi="Times New Roman" w:cs="Times New Roman"/>
          <w:sz w:val="24"/>
          <w:szCs w:val="24"/>
        </w:rPr>
        <w:t xml:space="preserve">, spike-basierten </w:t>
      </w:r>
      <w:r w:rsidR="008B15FA">
        <w:rPr>
          <w:rFonts w:ascii="Times New Roman" w:hAnsi="Times New Roman" w:cs="Times New Roman"/>
          <w:sz w:val="24"/>
          <w:szCs w:val="24"/>
        </w:rPr>
        <w:t>Covid-19-</w:t>
      </w:r>
      <w:r w:rsidR="00DC51C4">
        <w:rPr>
          <w:rFonts w:ascii="Times New Roman" w:hAnsi="Times New Roman" w:cs="Times New Roman"/>
          <w:sz w:val="24"/>
          <w:szCs w:val="24"/>
        </w:rPr>
        <w:t>Impfstoffe</w:t>
      </w:r>
      <w:r w:rsidR="006E3C39">
        <w:rPr>
          <w:rFonts w:ascii="Times New Roman" w:hAnsi="Times New Roman" w:cs="Times New Roman"/>
          <w:sz w:val="24"/>
          <w:szCs w:val="24"/>
        </w:rPr>
        <w:t xml:space="preserve"> </w:t>
      </w:r>
      <w:r w:rsidR="0089035D">
        <w:rPr>
          <w:rFonts w:ascii="Times New Roman" w:hAnsi="Times New Roman" w:cs="Times New Roman"/>
          <w:sz w:val="24"/>
          <w:szCs w:val="24"/>
        </w:rPr>
        <w:t>(in Deutschland zur</w:t>
      </w:r>
      <w:r w:rsidR="00151CDF">
        <w:rPr>
          <w:rFonts w:ascii="Times New Roman" w:hAnsi="Times New Roman" w:cs="Times New Roman"/>
          <w:sz w:val="24"/>
          <w:szCs w:val="24"/>
        </w:rPr>
        <w:t xml:space="preserve"> </w:t>
      </w:r>
      <w:r w:rsidR="0089035D">
        <w:rPr>
          <w:rFonts w:ascii="Times New Roman" w:hAnsi="Times New Roman" w:cs="Times New Roman"/>
          <w:sz w:val="24"/>
          <w:szCs w:val="24"/>
        </w:rPr>
        <w:t xml:space="preserve">Zeit verfügbar: </w:t>
      </w:r>
      <w:r w:rsidR="00187B17">
        <w:rPr>
          <w:rFonts w:ascii="Times New Roman" w:hAnsi="Times New Roman" w:cs="Times New Roman"/>
          <w:sz w:val="24"/>
          <w:szCs w:val="24"/>
        </w:rPr>
        <w:t xml:space="preserve">spike-induzierende </w:t>
      </w:r>
      <w:r w:rsidR="0089035D">
        <w:rPr>
          <w:rFonts w:ascii="Times New Roman" w:hAnsi="Times New Roman" w:cs="Times New Roman"/>
          <w:sz w:val="24"/>
          <w:szCs w:val="24"/>
        </w:rPr>
        <w:t>und proteinbasierte)</w:t>
      </w:r>
      <w:r>
        <w:rPr>
          <w:rFonts w:ascii="Times New Roman" w:hAnsi="Times New Roman" w:cs="Times New Roman"/>
          <w:sz w:val="24"/>
          <w:szCs w:val="24"/>
        </w:rPr>
        <w:t xml:space="preserve"> sollte</w:t>
      </w:r>
      <w:r w:rsidR="00760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B24">
        <w:rPr>
          <w:rFonts w:ascii="Times New Roman" w:hAnsi="Times New Roman" w:cs="Times New Roman"/>
          <w:sz w:val="24"/>
          <w:szCs w:val="24"/>
        </w:rPr>
        <w:t xml:space="preserve">über die Hersteller-Informationen hinausgehend, </w:t>
      </w:r>
      <w:r>
        <w:rPr>
          <w:rFonts w:ascii="Times New Roman" w:hAnsi="Times New Roman" w:cs="Times New Roman"/>
          <w:sz w:val="24"/>
          <w:szCs w:val="24"/>
        </w:rPr>
        <w:t xml:space="preserve">Folgendes </w:t>
      </w:r>
      <w:r w:rsidR="00151CDF">
        <w:rPr>
          <w:rFonts w:ascii="Times New Roman" w:hAnsi="Times New Roman" w:cs="Times New Roman"/>
          <w:sz w:val="24"/>
          <w:szCs w:val="24"/>
        </w:rPr>
        <w:t>bekannt sein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3E7E" w:rsidRDefault="00073E7E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D1" w:rsidRDefault="00187B17" w:rsidP="00E10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Spike-induzierende </w:t>
      </w:r>
      <w:r w:rsidR="00005FED">
        <w:rPr>
          <w:rFonts w:ascii="Times New Roman" w:hAnsi="Times New Roman" w:cs="Times New Roman"/>
          <w:sz w:val="24"/>
          <w:szCs w:val="24"/>
        </w:rPr>
        <w:t>mRNA-Impfstoff</w:t>
      </w:r>
      <w:r w:rsidR="00DC51C4">
        <w:rPr>
          <w:rFonts w:ascii="Times New Roman" w:hAnsi="Times New Roman" w:cs="Times New Roman"/>
          <w:sz w:val="24"/>
          <w:szCs w:val="24"/>
        </w:rPr>
        <w:t>e</w:t>
      </w:r>
      <w:r w:rsidR="006E3C39">
        <w:rPr>
          <w:rFonts w:ascii="Times New Roman" w:hAnsi="Times New Roman" w:cs="Times New Roman"/>
          <w:sz w:val="24"/>
          <w:szCs w:val="24"/>
        </w:rPr>
        <w:t xml:space="preserve"> sind</w:t>
      </w:r>
      <w:r w:rsidR="00005FED">
        <w:rPr>
          <w:rFonts w:ascii="Times New Roman" w:hAnsi="Times New Roman" w:cs="Times New Roman"/>
          <w:sz w:val="24"/>
          <w:szCs w:val="24"/>
        </w:rPr>
        <w:t xml:space="preserve"> im</w:t>
      </w:r>
      <w:r w:rsidR="0089035D">
        <w:rPr>
          <w:rFonts w:ascii="Times New Roman" w:hAnsi="Times New Roman" w:cs="Times New Roman"/>
          <w:sz w:val="24"/>
          <w:szCs w:val="24"/>
        </w:rPr>
        <w:t xml:space="preserve"> Gegensatz zu konventionellen </w:t>
      </w:r>
      <w:r w:rsidR="00005FED">
        <w:rPr>
          <w:rFonts w:ascii="Times New Roman" w:hAnsi="Times New Roman" w:cs="Times New Roman"/>
          <w:sz w:val="24"/>
          <w:szCs w:val="24"/>
        </w:rPr>
        <w:t>kein</w:t>
      </w:r>
      <w:r w:rsidR="006E3C39">
        <w:rPr>
          <w:rFonts w:ascii="Times New Roman" w:hAnsi="Times New Roman" w:cs="Times New Roman"/>
          <w:sz w:val="24"/>
          <w:szCs w:val="24"/>
        </w:rPr>
        <w:t>e</w:t>
      </w:r>
      <w:r w:rsidR="00005FED">
        <w:rPr>
          <w:rFonts w:ascii="Times New Roman" w:hAnsi="Times New Roman" w:cs="Times New Roman"/>
          <w:sz w:val="24"/>
          <w:szCs w:val="24"/>
        </w:rPr>
        <w:t xml:space="preserve"> </w:t>
      </w:r>
      <w:r w:rsidR="008B15FA">
        <w:rPr>
          <w:rFonts w:ascii="Times New Roman" w:hAnsi="Times New Roman" w:cs="Times New Roman"/>
          <w:sz w:val="24"/>
          <w:szCs w:val="24"/>
        </w:rPr>
        <w:t>Fertig-</w:t>
      </w:r>
      <w:r w:rsidR="00005FED">
        <w:rPr>
          <w:rFonts w:ascii="Times New Roman" w:hAnsi="Times New Roman" w:cs="Times New Roman"/>
          <w:sz w:val="24"/>
          <w:szCs w:val="24"/>
        </w:rPr>
        <w:t>Impfstoff</w:t>
      </w:r>
      <w:r w:rsidR="006E3C39">
        <w:rPr>
          <w:rFonts w:ascii="Times New Roman" w:hAnsi="Times New Roman" w:cs="Times New Roman"/>
          <w:sz w:val="24"/>
          <w:szCs w:val="24"/>
        </w:rPr>
        <w:t>e</w:t>
      </w:r>
      <w:r w:rsidR="00005FED">
        <w:rPr>
          <w:rFonts w:ascii="Times New Roman" w:hAnsi="Times New Roman" w:cs="Times New Roman"/>
          <w:sz w:val="24"/>
          <w:szCs w:val="24"/>
        </w:rPr>
        <w:t xml:space="preserve">, denn </w:t>
      </w:r>
      <w:r w:rsidR="006E3C39">
        <w:rPr>
          <w:rFonts w:ascii="Times New Roman" w:hAnsi="Times New Roman" w:cs="Times New Roman"/>
          <w:sz w:val="24"/>
          <w:szCs w:val="24"/>
        </w:rPr>
        <w:t xml:space="preserve">sie enthalten </w:t>
      </w:r>
      <w:r w:rsidR="00FF5825">
        <w:rPr>
          <w:rFonts w:ascii="Times New Roman" w:hAnsi="Times New Roman" w:cs="Times New Roman"/>
          <w:sz w:val="24"/>
          <w:szCs w:val="24"/>
        </w:rPr>
        <w:t>keine</w:t>
      </w:r>
      <w:r w:rsidR="002053AA">
        <w:rPr>
          <w:rFonts w:ascii="Times New Roman" w:hAnsi="Times New Roman" w:cs="Times New Roman"/>
          <w:sz w:val="24"/>
          <w:szCs w:val="24"/>
        </w:rPr>
        <w:t xml:space="preserve"> </w:t>
      </w:r>
      <w:r w:rsidR="0089035D">
        <w:rPr>
          <w:rFonts w:ascii="Times New Roman" w:hAnsi="Times New Roman" w:cs="Times New Roman"/>
          <w:sz w:val="24"/>
          <w:szCs w:val="24"/>
        </w:rPr>
        <w:t>wohldefinierte</w:t>
      </w:r>
      <w:r w:rsidR="00630441">
        <w:rPr>
          <w:rFonts w:ascii="Times New Roman" w:hAnsi="Times New Roman" w:cs="Times New Roman"/>
          <w:sz w:val="24"/>
          <w:szCs w:val="24"/>
        </w:rPr>
        <w:t xml:space="preserve"> und ausgetestete</w:t>
      </w:r>
      <w:r w:rsidR="0089035D">
        <w:rPr>
          <w:rFonts w:ascii="Times New Roman" w:hAnsi="Times New Roman" w:cs="Times New Roman"/>
          <w:sz w:val="24"/>
          <w:szCs w:val="24"/>
        </w:rPr>
        <w:t xml:space="preserve"> Antigenmenge</w:t>
      </w:r>
      <w:r w:rsidR="002053AA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sondern ein </w:t>
      </w:r>
      <w:r w:rsidR="0063044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 Lipid-Nanopartikel verpacktes Wirk</w:t>
      </w:r>
      <w:r w:rsidR="002053AA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medium mit dem genetischen Code für die Auslösung der intrazellulären Produktion des eigentlichen</w:t>
      </w:r>
      <w:r w:rsidR="00882A5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immunologisch aktiven</w:t>
      </w:r>
      <w:r w:rsidR="002053AA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Antigens</w:t>
      </w:r>
      <w:r w:rsidR="002053AA">
        <w:rPr>
          <w:rFonts w:ascii="Times New Roman" w:hAnsi="Times New Roman" w:cs="Times New Roman"/>
          <w:sz w:val="24"/>
          <w:szCs w:val="24"/>
        </w:rPr>
        <w:t xml:space="preserve"> (Virus-Spike Untereinheit S1 mit </w:t>
      </w:r>
      <w:r w:rsidR="00C46CFF">
        <w:rPr>
          <w:rFonts w:ascii="Times New Roman" w:hAnsi="Times New Roman" w:cs="Times New Roman"/>
          <w:sz w:val="24"/>
          <w:szCs w:val="24"/>
        </w:rPr>
        <w:t xml:space="preserve">Rezeptorbindungsdomäne </w:t>
      </w:r>
      <w:r w:rsidR="002053AA">
        <w:rPr>
          <w:rFonts w:ascii="Times New Roman" w:hAnsi="Times New Roman" w:cs="Times New Roman"/>
          <w:sz w:val="24"/>
          <w:szCs w:val="24"/>
        </w:rPr>
        <w:t xml:space="preserve">RBD). </w:t>
      </w:r>
      <w:r w:rsidR="00005FED">
        <w:rPr>
          <w:rFonts w:ascii="Times New Roman" w:hAnsi="Times New Roman" w:cs="Times New Roman"/>
          <w:sz w:val="24"/>
          <w:szCs w:val="24"/>
        </w:rPr>
        <w:t>Die Produktion d</w:t>
      </w:r>
      <w:r w:rsidR="00882A59">
        <w:rPr>
          <w:rFonts w:ascii="Times New Roman" w:hAnsi="Times New Roman" w:cs="Times New Roman"/>
          <w:sz w:val="24"/>
          <w:szCs w:val="24"/>
        </w:rPr>
        <w:t>ies</w:t>
      </w:r>
      <w:r w:rsidR="00005FED">
        <w:rPr>
          <w:rFonts w:ascii="Times New Roman" w:hAnsi="Times New Roman" w:cs="Times New Roman"/>
          <w:sz w:val="24"/>
          <w:szCs w:val="24"/>
        </w:rPr>
        <w:t xml:space="preserve">er Antigene </w:t>
      </w:r>
      <w:r w:rsidR="00F44C9D">
        <w:rPr>
          <w:rFonts w:ascii="Times New Roman" w:hAnsi="Times New Roman" w:cs="Times New Roman"/>
          <w:sz w:val="24"/>
          <w:szCs w:val="24"/>
        </w:rPr>
        <w:t xml:space="preserve"> </w:t>
      </w:r>
      <w:r w:rsidR="00005FED">
        <w:rPr>
          <w:rFonts w:ascii="Times New Roman" w:hAnsi="Times New Roman" w:cs="Times New Roman"/>
          <w:sz w:val="24"/>
          <w:szCs w:val="24"/>
        </w:rPr>
        <w:t xml:space="preserve">muß der Geimpfte, genetisch </w:t>
      </w:r>
      <w:r w:rsidR="00F46488">
        <w:rPr>
          <w:rFonts w:ascii="Times New Roman" w:hAnsi="Times New Roman" w:cs="Times New Roman"/>
          <w:sz w:val="24"/>
          <w:szCs w:val="24"/>
        </w:rPr>
        <w:t>getriggert</w:t>
      </w:r>
      <w:r w:rsidR="00005FED">
        <w:rPr>
          <w:rFonts w:ascii="Times New Roman" w:hAnsi="Times New Roman" w:cs="Times New Roman"/>
          <w:sz w:val="24"/>
          <w:szCs w:val="24"/>
        </w:rPr>
        <w:t>, selbst übe</w:t>
      </w:r>
      <w:r w:rsidR="00AD2DF3">
        <w:rPr>
          <w:rFonts w:ascii="Times New Roman" w:hAnsi="Times New Roman" w:cs="Times New Roman"/>
          <w:sz w:val="24"/>
          <w:szCs w:val="24"/>
        </w:rPr>
        <w:t xml:space="preserve">rnehmen - </w:t>
      </w:r>
      <w:r w:rsidR="00F46488">
        <w:rPr>
          <w:rFonts w:ascii="Times New Roman" w:hAnsi="Times New Roman" w:cs="Times New Roman"/>
          <w:sz w:val="24"/>
          <w:szCs w:val="24"/>
        </w:rPr>
        <w:t>der Geimpfte ist also sein eigener</w:t>
      </w:r>
      <w:r w:rsidR="00005FED">
        <w:rPr>
          <w:rFonts w:ascii="Times New Roman" w:hAnsi="Times New Roman" w:cs="Times New Roman"/>
          <w:sz w:val="24"/>
          <w:szCs w:val="24"/>
        </w:rPr>
        <w:t xml:space="preserve"> </w:t>
      </w:r>
      <w:r w:rsidR="00732F5C">
        <w:rPr>
          <w:rFonts w:ascii="Times New Roman" w:hAnsi="Times New Roman" w:cs="Times New Roman"/>
          <w:sz w:val="24"/>
          <w:szCs w:val="24"/>
        </w:rPr>
        <w:t>Impfstoffproduzent</w:t>
      </w:r>
      <w:r w:rsidR="00F46488">
        <w:rPr>
          <w:rFonts w:ascii="Times New Roman" w:hAnsi="Times New Roman" w:cs="Times New Roman"/>
          <w:sz w:val="24"/>
          <w:szCs w:val="24"/>
        </w:rPr>
        <w:t xml:space="preserve">. </w:t>
      </w:r>
      <w:r w:rsidR="00316FC5">
        <w:rPr>
          <w:rFonts w:ascii="Times New Roman" w:hAnsi="Times New Roman" w:cs="Times New Roman"/>
          <w:sz w:val="24"/>
          <w:szCs w:val="24"/>
        </w:rPr>
        <w:t xml:space="preserve">Erfahrungsgemäß unterliegt ein </w:t>
      </w:r>
      <w:r w:rsidR="00C46CFF">
        <w:rPr>
          <w:rFonts w:ascii="Times New Roman" w:hAnsi="Times New Roman" w:cs="Times New Roman"/>
          <w:sz w:val="24"/>
          <w:szCs w:val="24"/>
        </w:rPr>
        <w:t>solcher</w:t>
      </w:r>
      <w:r w:rsidR="000140D4">
        <w:rPr>
          <w:rFonts w:ascii="Times New Roman" w:hAnsi="Times New Roman" w:cs="Times New Roman"/>
          <w:sz w:val="24"/>
          <w:szCs w:val="24"/>
        </w:rPr>
        <w:t>,</w:t>
      </w:r>
      <w:r w:rsidR="00C46CFF">
        <w:rPr>
          <w:rFonts w:ascii="Times New Roman" w:hAnsi="Times New Roman" w:cs="Times New Roman"/>
          <w:sz w:val="24"/>
          <w:szCs w:val="24"/>
        </w:rPr>
        <w:t xml:space="preserve"> </w:t>
      </w:r>
      <w:r w:rsidR="00316FC5">
        <w:rPr>
          <w:rFonts w:ascii="Times New Roman" w:hAnsi="Times New Roman" w:cs="Times New Roman"/>
          <w:sz w:val="24"/>
          <w:szCs w:val="24"/>
        </w:rPr>
        <w:t xml:space="preserve">mehrschrittiger </w:t>
      </w:r>
      <w:r w:rsidR="00882A59">
        <w:rPr>
          <w:rFonts w:ascii="Times New Roman" w:hAnsi="Times New Roman" w:cs="Times New Roman"/>
          <w:sz w:val="24"/>
          <w:szCs w:val="24"/>
        </w:rPr>
        <w:t>Pr</w:t>
      </w:r>
      <w:r w:rsidR="00316FC5">
        <w:rPr>
          <w:rFonts w:ascii="Times New Roman" w:hAnsi="Times New Roman" w:cs="Times New Roman"/>
          <w:sz w:val="24"/>
          <w:szCs w:val="24"/>
        </w:rPr>
        <w:t xml:space="preserve">oduktionsprozeß </w:t>
      </w:r>
      <w:r w:rsidR="00882A59">
        <w:rPr>
          <w:rFonts w:ascii="Times New Roman" w:hAnsi="Times New Roman" w:cs="Times New Roman"/>
          <w:sz w:val="24"/>
          <w:szCs w:val="24"/>
        </w:rPr>
        <w:t>vielfältige</w:t>
      </w:r>
      <w:r w:rsidR="00316FC5">
        <w:rPr>
          <w:rFonts w:ascii="Times New Roman" w:hAnsi="Times New Roman" w:cs="Times New Roman"/>
          <w:sz w:val="24"/>
          <w:szCs w:val="24"/>
        </w:rPr>
        <w:t>r Einflußnahme</w:t>
      </w:r>
      <w:r w:rsidR="00882A59">
        <w:rPr>
          <w:rFonts w:ascii="Times New Roman" w:hAnsi="Times New Roman" w:cs="Times New Roman"/>
          <w:sz w:val="24"/>
          <w:szCs w:val="24"/>
        </w:rPr>
        <w:t xml:space="preserve">, die </w:t>
      </w:r>
      <w:r w:rsidR="00CC5300">
        <w:rPr>
          <w:rFonts w:ascii="Times New Roman" w:hAnsi="Times New Roman" w:cs="Times New Roman"/>
          <w:sz w:val="24"/>
          <w:szCs w:val="24"/>
        </w:rPr>
        <w:t xml:space="preserve">sich auf die </w:t>
      </w:r>
      <w:r w:rsidR="00882A59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Vorhersagbarkeit </w:t>
      </w:r>
      <w:r w:rsidR="00CC5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des</w:t>
      </w:r>
      <w:r w:rsidR="00882A59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Impfschutz</w:t>
      </w:r>
      <w:r w:rsidR="00CC5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es wie auch</w:t>
      </w:r>
      <w:r w:rsidR="00882A59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F52B1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auf die </w:t>
      </w:r>
      <w:r w:rsidR="00CC530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von </w:t>
      </w:r>
      <w:r w:rsidR="00882A59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Nebenwirkungen</w:t>
      </w:r>
      <w:r w:rsidR="00882A59">
        <w:rPr>
          <w:rFonts w:ascii="Times New Roman" w:hAnsi="Times New Roman" w:cs="Times New Roman"/>
          <w:sz w:val="24"/>
          <w:szCs w:val="24"/>
        </w:rPr>
        <w:t xml:space="preserve"> </w:t>
      </w:r>
      <w:r w:rsidR="00CC5300">
        <w:rPr>
          <w:rFonts w:ascii="Times New Roman" w:hAnsi="Times New Roman" w:cs="Times New Roman"/>
          <w:sz w:val="24"/>
          <w:szCs w:val="24"/>
        </w:rPr>
        <w:t>auswirken</w:t>
      </w:r>
      <w:r w:rsidR="00316FC5">
        <w:rPr>
          <w:rFonts w:ascii="Times New Roman" w:hAnsi="Times New Roman" w:cs="Times New Roman"/>
          <w:sz w:val="24"/>
          <w:szCs w:val="24"/>
        </w:rPr>
        <w:t xml:space="preserve"> kann</w:t>
      </w:r>
      <w:r w:rsidR="00882A59">
        <w:rPr>
          <w:rFonts w:ascii="Times New Roman" w:hAnsi="Times New Roman" w:cs="Times New Roman"/>
          <w:sz w:val="24"/>
          <w:szCs w:val="24"/>
        </w:rPr>
        <w:t xml:space="preserve"> und </w:t>
      </w:r>
      <w:r w:rsidR="00CC5300">
        <w:rPr>
          <w:rFonts w:ascii="Times New Roman" w:hAnsi="Times New Roman" w:cs="Times New Roman"/>
          <w:sz w:val="24"/>
          <w:szCs w:val="24"/>
        </w:rPr>
        <w:t xml:space="preserve">somit in der Lage </w:t>
      </w:r>
      <w:r w:rsidR="00316FC5">
        <w:rPr>
          <w:rFonts w:ascii="Times New Roman" w:hAnsi="Times New Roman" w:cs="Times New Roman"/>
          <w:sz w:val="24"/>
          <w:szCs w:val="24"/>
        </w:rPr>
        <w:t>ist</w:t>
      </w:r>
      <w:r w:rsidR="00CC5300">
        <w:rPr>
          <w:rFonts w:ascii="Times New Roman" w:hAnsi="Times New Roman" w:cs="Times New Roman"/>
          <w:sz w:val="24"/>
          <w:szCs w:val="24"/>
        </w:rPr>
        <w:t xml:space="preserve">, </w:t>
      </w:r>
      <w:r w:rsidR="00882A59">
        <w:rPr>
          <w:rFonts w:ascii="Times New Roman" w:hAnsi="Times New Roman" w:cs="Times New Roman"/>
          <w:sz w:val="24"/>
          <w:szCs w:val="24"/>
        </w:rPr>
        <w:t xml:space="preserve">die interindividuelle Variabilität </w:t>
      </w:r>
      <w:r w:rsidR="00CC5300">
        <w:rPr>
          <w:rFonts w:ascii="Times New Roman" w:hAnsi="Times New Roman" w:cs="Times New Roman"/>
          <w:sz w:val="24"/>
          <w:szCs w:val="24"/>
        </w:rPr>
        <w:t xml:space="preserve">zu </w:t>
      </w:r>
      <w:r w:rsidR="00882A59">
        <w:rPr>
          <w:rFonts w:ascii="Times New Roman" w:hAnsi="Times New Roman" w:cs="Times New Roman"/>
          <w:sz w:val="24"/>
          <w:szCs w:val="24"/>
        </w:rPr>
        <w:t>vervielfachen</w:t>
      </w:r>
      <w:r w:rsidR="00CC5300">
        <w:rPr>
          <w:rFonts w:ascii="Times New Roman" w:hAnsi="Times New Roman" w:cs="Times New Roman"/>
          <w:sz w:val="24"/>
          <w:szCs w:val="24"/>
        </w:rPr>
        <w:t xml:space="preserve">. </w:t>
      </w:r>
      <w:r w:rsidR="005D5B25">
        <w:rPr>
          <w:rFonts w:ascii="Times New Roman" w:hAnsi="Times New Roman" w:cs="Times New Roman"/>
          <w:sz w:val="24"/>
          <w:szCs w:val="24"/>
        </w:rPr>
        <w:t xml:space="preserve">Erforderlich </w:t>
      </w:r>
      <w:r w:rsidR="00CC5300">
        <w:rPr>
          <w:rFonts w:ascii="Times New Roman" w:hAnsi="Times New Roman" w:cs="Times New Roman"/>
          <w:sz w:val="24"/>
          <w:szCs w:val="24"/>
        </w:rPr>
        <w:t xml:space="preserve">wären </w:t>
      </w:r>
      <w:r w:rsidR="005D5B25">
        <w:rPr>
          <w:rFonts w:ascii="Times New Roman" w:hAnsi="Times New Roman" w:cs="Times New Roman"/>
          <w:sz w:val="24"/>
          <w:szCs w:val="24"/>
        </w:rPr>
        <w:t xml:space="preserve">vor der Zulassungserteilung </w:t>
      </w:r>
      <w:r w:rsidR="00316FC5">
        <w:rPr>
          <w:rFonts w:ascii="Times New Roman" w:hAnsi="Times New Roman" w:cs="Times New Roman"/>
          <w:sz w:val="24"/>
          <w:szCs w:val="24"/>
        </w:rPr>
        <w:t xml:space="preserve">nicht nur systematisch erhobene </w:t>
      </w:r>
      <w:r w:rsidR="005D5B25">
        <w:rPr>
          <w:rFonts w:ascii="Times New Roman" w:hAnsi="Times New Roman" w:cs="Times New Roman"/>
          <w:sz w:val="24"/>
          <w:szCs w:val="24"/>
        </w:rPr>
        <w:t>Befunde</w:t>
      </w:r>
      <w:r w:rsidR="00CC5300">
        <w:rPr>
          <w:rFonts w:ascii="Times New Roman" w:hAnsi="Times New Roman" w:cs="Times New Roman"/>
          <w:sz w:val="24"/>
          <w:szCs w:val="24"/>
        </w:rPr>
        <w:t xml:space="preserve"> </w:t>
      </w:r>
      <w:r w:rsidR="005D5B25">
        <w:rPr>
          <w:rFonts w:ascii="Times New Roman" w:hAnsi="Times New Roman" w:cs="Times New Roman"/>
          <w:sz w:val="24"/>
          <w:szCs w:val="24"/>
        </w:rPr>
        <w:t xml:space="preserve">zu Ausmaß und Dauer der endogenen (Antigen)Spike-Produktion, zur Neutralisierungsquote der Spikes und zu Dosis-Wirkungsbeziehungen gewesen, sondern auch </w:t>
      </w:r>
      <w:r w:rsidR="00316FC5">
        <w:rPr>
          <w:rFonts w:ascii="Times New Roman" w:hAnsi="Times New Roman" w:cs="Times New Roman"/>
          <w:sz w:val="24"/>
          <w:szCs w:val="24"/>
        </w:rPr>
        <w:t xml:space="preserve">zu individuellen </w:t>
      </w:r>
      <w:r w:rsidR="00760B24">
        <w:rPr>
          <w:rFonts w:ascii="Times New Roman" w:hAnsi="Times New Roman" w:cs="Times New Roman"/>
          <w:sz w:val="24"/>
          <w:szCs w:val="24"/>
        </w:rPr>
        <w:t xml:space="preserve">Abhängigkeiten und </w:t>
      </w:r>
      <w:r w:rsidR="00316FC5">
        <w:rPr>
          <w:rFonts w:ascii="Times New Roman" w:hAnsi="Times New Roman" w:cs="Times New Roman"/>
          <w:sz w:val="24"/>
          <w:szCs w:val="24"/>
        </w:rPr>
        <w:t>Beeinflussungsmodalitäten</w:t>
      </w:r>
      <w:r w:rsidR="005D5B25">
        <w:rPr>
          <w:rFonts w:ascii="Times New Roman" w:hAnsi="Times New Roman" w:cs="Times New Roman"/>
          <w:sz w:val="24"/>
          <w:szCs w:val="24"/>
        </w:rPr>
        <w:t xml:space="preserve">. </w:t>
      </w:r>
      <w:r w:rsidR="00FF5825">
        <w:rPr>
          <w:rFonts w:ascii="Times New Roman" w:hAnsi="Times New Roman" w:cs="Times New Roman"/>
          <w:sz w:val="24"/>
          <w:szCs w:val="24"/>
        </w:rPr>
        <w:t xml:space="preserve">Doch daran mangelt es bis heute und trotz Milliardengewinnen der Hersteller </w:t>
      </w:r>
      <w:r w:rsidR="005D5B25">
        <w:rPr>
          <w:rFonts w:ascii="Times New Roman" w:hAnsi="Times New Roman" w:cs="Times New Roman"/>
          <w:sz w:val="24"/>
          <w:szCs w:val="24"/>
        </w:rPr>
        <w:t>scheint an der Aufklärung dieser Wirkvoraussetzungen kein Interesse vor</w:t>
      </w:r>
      <w:r w:rsidR="00060DA9">
        <w:rPr>
          <w:rFonts w:ascii="Times New Roman" w:hAnsi="Times New Roman" w:cs="Times New Roman"/>
          <w:sz w:val="24"/>
          <w:szCs w:val="24"/>
        </w:rPr>
        <w:t>handen zu sein.</w:t>
      </w:r>
      <w:r w:rsidR="005D5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 blieb es bspw. u</w:t>
      </w:r>
      <w:r w:rsidR="00073E7E">
        <w:rPr>
          <w:rFonts w:ascii="Times New Roman" w:hAnsi="Times New Roman" w:cs="Times New Roman"/>
          <w:sz w:val="24"/>
          <w:szCs w:val="24"/>
        </w:rPr>
        <w:t xml:space="preserve">nabhängigen Forschern </w:t>
      </w:r>
      <w:r>
        <w:rPr>
          <w:rFonts w:ascii="Times New Roman" w:hAnsi="Times New Roman" w:cs="Times New Roman"/>
          <w:sz w:val="24"/>
          <w:szCs w:val="24"/>
        </w:rPr>
        <w:t xml:space="preserve">überlassen, </w:t>
      </w:r>
      <w:r w:rsidR="00073E7E">
        <w:rPr>
          <w:rFonts w:ascii="Times New Roman" w:hAnsi="Times New Roman" w:cs="Times New Roman"/>
          <w:sz w:val="24"/>
          <w:szCs w:val="24"/>
        </w:rPr>
        <w:t xml:space="preserve">entgegen offizieller Verlautbarungen  nachzuweisen, daß </w:t>
      </w:r>
      <w:r w:rsidR="00E107D1" w:rsidRPr="00B451B0">
        <w:rPr>
          <w:rFonts w:ascii="Times New Roman" w:hAnsi="Times New Roman" w:cs="Times New Roman"/>
          <w:sz w:val="24"/>
          <w:szCs w:val="24"/>
        </w:rPr>
        <w:t xml:space="preserve">sich Impfstoffspikes im </w:t>
      </w:r>
      <w:r w:rsidR="00073E7E">
        <w:rPr>
          <w:rFonts w:ascii="Times New Roman" w:hAnsi="Times New Roman" w:cs="Times New Roman"/>
          <w:sz w:val="24"/>
          <w:szCs w:val="24"/>
        </w:rPr>
        <w:t xml:space="preserve">gesamten </w:t>
      </w:r>
      <w:r w:rsidR="00E107D1" w:rsidRPr="00B451B0">
        <w:rPr>
          <w:rFonts w:ascii="Times New Roman" w:hAnsi="Times New Roman" w:cs="Times New Roman"/>
          <w:sz w:val="24"/>
          <w:szCs w:val="24"/>
        </w:rPr>
        <w:t xml:space="preserve">Körper </w:t>
      </w:r>
      <w:r w:rsidR="00073E7E">
        <w:rPr>
          <w:rFonts w:ascii="Times New Roman" w:hAnsi="Times New Roman" w:cs="Times New Roman"/>
          <w:sz w:val="24"/>
          <w:szCs w:val="24"/>
        </w:rPr>
        <w:t xml:space="preserve">verteilen können </w:t>
      </w:r>
      <w:r w:rsidR="00E107D1" w:rsidRPr="00B451B0">
        <w:rPr>
          <w:rFonts w:ascii="Times New Roman" w:hAnsi="Times New Roman" w:cs="Times New Roman"/>
          <w:sz w:val="24"/>
          <w:szCs w:val="24"/>
        </w:rPr>
        <w:t>und nicht nur kurzzeitig nachweisbar</w:t>
      </w:r>
      <w:r w:rsidR="00073E7E" w:rsidRPr="00073E7E">
        <w:rPr>
          <w:rFonts w:ascii="Times New Roman" w:hAnsi="Times New Roman" w:cs="Times New Roman"/>
          <w:sz w:val="24"/>
          <w:szCs w:val="24"/>
        </w:rPr>
        <w:t xml:space="preserve"> </w:t>
      </w:r>
      <w:r w:rsidR="00073E7E" w:rsidRPr="00B451B0">
        <w:rPr>
          <w:rFonts w:ascii="Times New Roman" w:hAnsi="Times New Roman" w:cs="Times New Roman"/>
          <w:sz w:val="24"/>
          <w:szCs w:val="24"/>
        </w:rPr>
        <w:t>sind</w:t>
      </w:r>
      <w:r w:rsidR="00E107D1" w:rsidRPr="00B451B0">
        <w:rPr>
          <w:rFonts w:ascii="Times New Roman" w:hAnsi="Times New Roman" w:cs="Times New Roman"/>
          <w:sz w:val="24"/>
          <w:szCs w:val="24"/>
        </w:rPr>
        <w:t>. Das Zeitfenster für die Beurteilung eines Kausalzusammenhangs zwischen Impfung und unerwünschten Reaktionen sollte deshalb auf die maximale Zeitdauer des Spike-Nachweises ausgedehnt werden.</w:t>
      </w:r>
    </w:p>
    <w:p w:rsidR="00246817" w:rsidRDefault="00246817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E74" w:rsidRDefault="00105E74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Proteinbasierte Impfstoffe enthalten das </w:t>
      </w:r>
      <w:r w:rsidR="00043664">
        <w:rPr>
          <w:rFonts w:ascii="Times New Roman" w:hAnsi="Times New Roman" w:cs="Times New Roman"/>
          <w:sz w:val="24"/>
          <w:szCs w:val="24"/>
        </w:rPr>
        <w:t xml:space="preserve">synthetisch hergestellte Spike-Protein </w:t>
      </w:r>
      <w:r w:rsidR="005C2EBE">
        <w:rPr>
          <w:rFonts w:ascii="Times New Roman" w:hAnsi="Times New Roman" w:cs="Times New Roman"/>
          <w:sz w:val="24"/>
          <w:szCs w:val="24"/>
        </w:rPr>
        <w:t xml:space="preserve">als Antigen </w:t>
      </w:r>
      <w:r w:rsidR="00043664">
        <w:rPr>
          <w:rFonts w:ascii="Times New Roman" w:hAnsi="Times New Roman" w:cs="Times New Roman"/>
          <w:sz w:val="24"/>
          <w:szCs w:val="24"/>
        </w:rPr>
        <w:t xml:space="preserve">und umgehen somit einen Großteil der Reaktionsvariabilität der </w:t>
      </w:r>
      <w:r w:rsidR="008B15FA">
        <w:rPr>
          <w:rFonts w:ascii="Times New Roman" w:hAnsi="Times New Roman" w:cs="Times New Roman"/>
          <w:sz w:val="24"/>
          <w:szCs w:val="24"/>
        </w:rPr>
        <w:t xml:space="preserve">spike-induzierenden </w:t>
      </w:r>
      <w:r w:rsidR="00043664">
        <w:rPr>
          <w:rFonts w:ascii="Times New Roman" w:hAnsi="Times New Roman" w:cs="Times New Roman"/>
          <w:sz w:val="24"/>
          <w:szCs w:val="24"/>
        </w:rPr>
        <w:t>mRNA</w:t>
      </w:r>
      <w:r w:rsidR="005C2EBE">
        <w:rPr>
          <w:rFonts w:ascii="Times New Roman" w:hAnsi="Times New Roman" w:cs="Times New Roman"/>
          <w:sz w:val="24"/>
          <w:szCs w:val="24"/>
        </w:rPr>
        <w:t xml:space="preserve"> Wirk-/Impfstoffe.</w:t>
      </w:r>
    </w:p>
    <w:p w:rsidR="00105E74" w:rsidRDefault="00105E74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CE" w:rsidRDefault="000140D4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Gemeinsam ist beiden Impfstofftypen</w:t>
      </w:r>
      <w:r w:rsidR="005C2EBE">
        <w:rPr>
          <w:rFonts w:ascii="Times New Roman" w:hAnsi="Times New Roman" w:cs="Times New Roman"/>
          <w:sz w:val="24"/>
          <w:szCs w:val="24"/>
        </w:rPr>
        <w:t xml:space="preserve"> die </w:t>
      </w:r>
      <w:r w:rsidR="00D01CC1">
        <w:rPr>
          <w:rFonts w:ascii="Times New Roman" w:hAnsi="Times New Roman" w:cs="Times New Roman"/>
          <w:sz w:val="24"/>
          <w:szCs w:val="24"/>
        </w:rPr>
        <w:t xml:space="preserve">gezielte </w:t>
      </w:r>
      <w:r w:rsidR="005C2EBE">
        <w:rPr>
          <w:rFonts w:ascii="Times New Roman" w:hAnsi="Times New Roman" w:cs="Times New Roman"/>
          <w:sz w:val="24"/>
          <w:szCs w:val="24"/>
        </w:rPr>
        <w:t>Auswahl des Spike-Proteins</w:t>
      </w:r>
      <w:r w:rsidR="00D01CC1">
        <w:rPr>
          <w:rFonts w:ascii="Times New Roman" w:hAnsi="Times New Roman" w:cs="Times New Roman"/>
          <w:sz w:val="24"/>
          <w:szCs w:val="24"/>
        </w:rPr>
        <w:t xml:space="preserve"> </w:t>
      </w:r>
      <w:r w:rsidR="007D3D86">
        <w:rPr>
          <w:rFonts w:ascii="Times New Roman" w:hAnsi="Times New Roman" w:cs="Times New Roman"/>
          <w:sz w:val="24"/>
          <w:szCs w:val="24"/>
        </w:rPr>
        <w:t>unter mehreren Alternativen</w:t>
      </w:r>
      <w:r w:rsidR="005C2EBE">
        <w:rPr>
          <w:rFonts w:ascii="Times New Roman" w:hAnsi="Times New Roman" w:cs="Times New Roman"/>
          <w:sz w:val="24"/>
          <w:szCs w:val="24"/>
        </w:rPr>
        <w:t xml:space="preserve"> als Antigen zur Auslösung der</w:t>
      </w:r>
      <w:r w:rsidR="00D01CC1">
        <w:rPr>
          <w:rFonts w:ascii="Times New Roman" w:hAnsi="Times New Roman" w:cs="Times New Roman"/>
          <w:sz w:val="24"/>
          <w:szCs w:val="24"/>
        </w:rPr>
        <w:t xml:space="preserve"> gewünschten </w:t>
      </w:r>
      <w:r w:rsidR="005C2EBE">
        <w:rPr>
          <w:rFonts w:ascii="Times New Roman" w:hAnsi="Times New Roman" w:cs="Times New Roman"/>
          <w:sz w:val="24"/>
          <w:szCs w:val="24"/>
        </w:rPr>
        <w:t xml:space="preserve"> Antikörperbildung </w:t>
      </w:r>
      <w:r w:rsidR="00E14E4F">
        <w:rPr>
          <w:rFonts w:ascii="Times New Roman" w:hAnsi="Times New Roman" w:cs="Times New Roman"/>
          <w:sz w:val="24"/>
          <w:szCs w:val="24"/>
        </w:rPr>
        <w:t>und zellulären Immunantwort</w:t>
      </w:r>
      <w:r w:rsidR="007D3D86">
        <w:rPr>
          <w:rFonts w:ascii="Times New Roman" w:hAnsi="Times New Roman" w:cs="Times New Roman"/>
          <w:sz w:val="24"/>
          <w:szCs w:val="24"/>
        </w:rPr>
        <w:t>.</w:t>
      </w:r>
      <w:r w:rsidR="00E14E4F">
        <w:rPr>
          <w:rFonts w:ascii="Times New Roman" w:hAnsi="Times New Roman" w:cs="Times New Roman"/>
          <w:sz w:val="24"/>
          <w:szCs w:val="24"/>
        </w:rPr>
        <w:t xml:space="preserve"> </w:t>
      </w:r>
      <w:r w:rsidR="00D01CC1">
        <w:rPr>
          <w:rFonts w:ascii="Times New Roman" w:hAnsi="Times New Roman" w:cs="Times New Roman"/>
          <w:sz w:val="24"/>
          <w:szCs w:val="24"/>
        </w:rPr>
        <w:t xml:space="preserve">Fatal an dieser Auswahl </w:t>
      </w:r>
      <w:r w:rsidR="00F44C9D">
        <w:rPr>
          <w:rFonts w:ascii="Times New Roman" w:hAnsi="Times New Roman" w:cs="Times New Roman"/>
          <w:sz w:val="24"/>
          <w:szCs w:val="24"/>
        </w:rPr>
        <w:t xml:space="preserve">ist </w:t>
      </w:r>
      <w:r w:rsidR="00670827">
        <w:rPr>
          <w:rFonts w:ascii="Times New Roman" w:hAnsi="Times New Roman" w:cs="Times New Roman"/>
          <w:sz w:val="24"/>
          <w:szCs w:val="24"/>
        </w:rPr>
        <w:t xml:space="preserve">allerdings </w:t>
      </w:r>
      <w:r w:rsidR="00F44C9D">
        <w:rPr>
          <w:rFonts w:ascii="Times New Roman" w:hAnsi="Times New Roman" w:cs="Times New Roman"/>
          <w:sz w:val="24"/>
          <w:szCs w:val="24"/>
        </w:rPr>
        <w:t xml:space="preserve">die </w:t>
      </w:r>
      <w:r w:rsidR="0043795B">
        <w:rPr>
          <w:rFonts w:ascii="Times New Roman" w:hAnsi="Times New Roman" w:cs="Times New Roman"/>
          <w:sz w:val="24"/>
          <w:szCs w:val="24"/>
        </w:rPr>
        <w:t>Interaktion</w:t>
      </w:r>
      <w:r w:rsidR="00D01CC1">
        <w:rPr>
          <w:rFonts w:ascii="Times New Roman" w:hAnsi="Times New Roman" w:cs="Times New Roman"/>
          <w:sz w:val="24"/>
          <w:szCs w:val="24"/>
        </w:rPr>
        <w:t xml:space="preserve"> der Antigen-Spikes </w:t>
      </w:r>
      <w:r w:rsidR="0043795B">
        <w:rPr>
          <w:rFonts w:ascii="Times New Roman" w:hAnsi="Times New Roman" w:cs="Times New Roman"/>
          <w:sz w:val="24"/>
          <w:szCs w:val="24"/>
        </w:rPr>
        <w:t>mit einem bedeutsamen</w:t>
      </w:r>
      <w:r w:rsidR="00300ACE">
        <w:rPr>
          <w:rFonts w:ascii="Times New Roman" w:hAnsi="Times New Roman" w:cs="Times New Roman"/>
          <w:sz w:val="24"/>
          <w:szCs w:val="24"/>
        </w:rPr>
        <w:t>,</w:t>
      </w:r>
      <w:r w:rsidR="0043795B">
        <w:rPr>
          <w:rFonts w:ascii="Times New Roman" w:hAnsi="Times New Roman" w:cs="Times New Roman"/>
          <w:sz w:val="24"/>
          <w:szCs w:val="24"/>
        </w:rPr>
        <w:t xml:space="preserve"> multipotenten Regulationssystem des menschlichen Organismus</w:t>
      </w:r>
      <w:r w:rsidR="00F44C9D">
        <w:rPr>
          <w:rFonts w:ascii="Times New Roman" w:hAnsi="Times New Roman" w:cs="Times New Roman"/>
          <w:sz w:val="24"/>
          <w:szCs w:val="24"/>
        </w:rPr>
        <w:t>, dem soge</w:t>
      </w:r>
      <w:r w:rsidR="00670827">
        <w:rPr>
          <w:rFonts w:ascii="Times New Roman" w:hAnsi="Times New Roman" w:cs="Times New Roman"/>
          <w:sz w:val="24"/>
          <w:szCs w:val="24"/>
        </w:rPr>
        <w:t>n. Renin-Angiotensin-Aldosteron-</w:t>
      </w:r>
      <w:r w:rsidR="00F44C9D">
        <w:rPr>
          <w:rFonts w:ascii="Times New Roman" w:hAnsi="Times New Roman" w:cs="Times New Roman"/>
          <w:sz w:val="24"/>
          <w:szCs w:val="24"/>
        </w:rPr>
        <w:t>System (RAAS).</w:t>
      </w:r>
      <w:r w:rsidR="0043795B">
        <w:rPr>
          <w:rFonts w:ascii="Times New Roman" w:hAnsi="Times New Roman" w:cs="Times New Roman"/>
          <w:sz w:val="24"/>
          <w:szCs w:val="24"/>
        </w:rPr>
        <w:t xml:space="preserve"> </w:t>
      </w:r>
      <w:r w:rsidR="00F44C9D">
        <w:rPr>
          <w:rFonts w:ascii="Times New Roman" w:hAnsi="Times New Roman" w:cs="Times New Roman"/>
          <w:sz w:val="24"/>
          <w:szCs w:val="24"/>
        </w:rPr>
        <w:t xml:space="preserve">Ein wesentliches </w:t>
      </w:r>
      <w:r w:rsidR="0001293E">
        <w:rPr>
          <w:rFonts w:ascii="Times New Roman" w:hAnsi="Times New Roman" w:cs="Times New Roman"/>
          <w:sz w:val="24"/>
          <w:szCs w:val="24"/>
        </w:rPr>
        <w:t>Enzym dieses Systems</w:t>
      </w:r>
      <w:r w:rsidR="003A7CDC">
        <w:rPr>
          <w:rFonts w:ascii="Times New Roman" w:hAnsi="Times New Roman" w:cs="Times New Roman"/>
          <w:sz w:val="24"/>
          <w:szCs w:val="24"/>
        </w:rPr>
        <w:t>, das</w:t>
      </w:r>
      <w:r w:rsidR="00073E7E">
        <w:rPr>
          <w:rFonts w:ascii="Times New Roman" w:hAnsi="Times New Roman" w:cs="Times New Roman"/>
          <w:sz w:val="24"/>
          <w:szCs w:val="24"/>
        </w:rPr>
        <w:t xml:space="preserve"> seit ca. 2000 bekannte</w:t>
      </w:r>
      <w:r w:rsidR="003A7CDC">
        <w:rPr>
          <w:rFonts w:ascii="Times New Roman" w:hAnsi="Times New Roman" w:cs="Times New Roman"/>
          <w:sz w:val="24"/>
          <w:szCs w:val="24"/>
        </w:rPr>
        <w:t xml:space="preserve"> Angiotensin-Converting-Enzym</w:t>
      </w:r>
      <w:r w:rsidR="00073E7E">
        <w:rPr>
          <w:rFonts w:ascii="Times New Roman" w:hAnsi="Times New Roman" w:cs="Times New Roman"/>
          <w:sz w:val="24"/>
          <w:szCs w:val="24"/>
        </w:rPr>
        <w:t xml:space="preserve"> </w:t>
      </w:r>
      <w:r w:rsidR="003A7CDC">
        <w:rPr>
          <w:rFonts w:ascii="Times New Roman" w:hAnsi="Times New Roman" w:cs="Times New Roman"/>
          <w:sz w:val="24"/>
          <w:szCs w:val="24"/>
        </w:rPr>
        <w:t>2</w:t>
      </w:r>
      <w:r w:rsidR="0001293E">
        <w:rPr>
          <w:rFonts w:ascii="Times New Roman" w:hAnsi="Times New Roman" w:cs="Times New Roman"/>
          <w:sz w:val="24"/>
          <w:szCs w:val="24"/>
        </w:rPr>
        <w:t xml:space="preserve"> (ACE2)</w:t>
      </w:r>
      <w:r w:rsidR="003A7CDC">
        <w:rPr>
          <w:rFonts w:ascii="Times New Roman" w:hAnsi="Times New Roman" w:cs="Times New Roman"/>
          <w:sz w:val="24"/>
          <w:szCs w:val="24"/>
        </w:rPr>
        <w:t>,</w:t>
      </w:r>
      <w:r w:rsidR="00F44C9D">
        <w:rPr>
          <w:rFonts w:ascii="Times New Roman" w:hAnsi="Times New Roman" w:cs="Times New Roman"/>
          <w:sz w:val="24"/>
          <w:szCs w:val="24"/>
        </w:rPr>
        <w:t xml:space="preserve"> </w:t>
      </w:r>
      <w:r w:rsidR="0001293E">
        <w:rPr>
          <w:rFonts w:ascii="Times New Roman" w:hAnsi="Times New Roman" w:cs="Times New Roman"/>
          <w:sz w:val="24"/>
          <w:szCs w:val="24"/>
        </w:rPr>
        <w:t xml:space="preserve">wird durch </w:t>
      </w:r>
      <w:r w:rsidR="002E27D8">
        <w:rPr>
          <w:rFonts w:ascii="Times New Roman" w:hAnsi="Times New Roman" w:cs="Times New Roman"/>
          <w:sz w:val="24"/>
          <w:szCs w:val="24"/>
        </w:rPr>
        <w:t xml:space="preserve">Anheftung </w:t>
      </w:r>
      <w:r w:rsidR="00E46E46">
        <w:rPr>
          <w:rFonts w:ascii="Times New Roman" w:hAnsi="Times New Roman" w:cs="Times New Roman"/>
          <w:sz w:val="24"/>
          <w:szCs w:val="24"/>
        </w:rPr>
        <w:t>nicht-neutralisierte</w:t>
      </w:r>
      <w:r w:rsidR="002E27D8">
        <w:rPr>
          <w:rFonts w:ascii="Times New Roman" w:hAnsi="Times New Roman" w:cs="Times New Roman"/>
          <w:sz w:val="24"/>
          <w:szCs w:val="24"/>
        </w:rPr>
        <w:t>r</w:t>
      </w:r>
      <w:r w:rsidR="00E46E46">
        <w:rPr>
          <w:rFonts w:ascii="Times New Roman" w:hAnsi="Times New Roman" w:cs="Times New Roman"/>
          <w:sz w:val="24"/>
          <w:szCs w:val="24"/>
        </w:rPr>
        <w:t xml:space="preserve"> </w:t>
      </w:r>
      <w:r w:rsidR="0001293E">
        <w:rPr>
          <w:rFonts w:ascii="Times New Roman" w:hAnsi="Times New Roman" w:cs="Times New Roman"/>
          <w:sz w:val="24"/>
          <w:szCs w:val="24"/>
        </w:rPr>
        <w:t>Antigene (Spike-Untere</w:t>
      </w:r>
      <w:r w:rsidR="00E46E46">
        <w:rPr>
          <w:rFonts w:ascii="Times New Roman" w:hAnsi="Times New Roman" w:cs="Times New Roman"/>
          <w:sz w:val="24"/>
          <w:szCs w:val="24"/>
        </w:rPr>
        <w:t xml:space="preserve">inheit S1 mit RBD) </w:t>
      </w:r>
      <w:r w:rsidR="00754B48">
        <w:rPr>
          <w:rFonts w:ascii="Times New Roman" w:hAnsi="Times New Roman" w:cs="Times New Roman"/>
          <w:sz w:val="24"/>
          <w:szCs w:val="24"/>
        </w:rPr>
        <w:t xml:space="preserve">in </w:t>
      </w:r>
      <w:r w:rsidR="0001293E">
        <w:rPr>
          <w:rFonts w:ascii="Times New Roman" w:hAnsi="Times New Roman" w:cs="Times New Roman"/>
          <w:sz w:val="24"/>
          <w:szCs w:val="24"/>
        </w:rPr>
        <w:t xml:space="preserve">seiner schützenden Funktion </w:t>
      </w:r>
      <w:r w:rsidR="00754B48">
        <w:rPr>
          <w:rFonts w:ascii="Times New Roman" w:hAnsi="Times New Roman" w:cs="Times New Roman"/>
          <w:sz w:val="24"/>
          <w:szCs w:val="24"/>
        </w:rPr>
        <w:t>eingeschränkt.</w:t>
      </w:r>
      <w:r w:rsidR="0001293E">
        <w:rPr>
          <w:rFonts w:ascii="Times New Roman" w:hAnsi="Times New Roman" w:cs="Times New Roman"/>
          <w:sz w:val="24"/>
          <w:szCs w:val="24"/>
        </w:rPr>
        <w:t xml:space="preserve"> </w:t>
      </w:r>
      <w:r w:rsidR="00B33BA1">
        <w:rPr>
          <w:rFonts w:ascii="Times New Roman" w:hAnsi="Times New Roman" w:cs="Times New Roman"/>
          <w:sz w:val="24"/>
          <w:szCs w:val="24"/>
        </w:rPr>
        <w:t xml:space="preserve">Während </w:t>
      </w:r>
      <w:r w:rsidR="00AD2DF3">
        <w:rPr>
          <w:rFonts w:ascii="Times New Roman" w:hAnsi="Times New Roman" w:cs="Times New Roman"/>
          <w:sz w:val="24"/>
          <w:szCs w:val="24"/>
        </w:rPr>
        <w:t>die</w:t>
      </w:r>
      <w:r w:rsidR="00B33BA1">
        <w:rPr>
          <w:rFonts w:ascii="Times New Roman" w:hAnsi="Times New Roman" w:cs="Times New Roman"/>
          <w:sz w:val="24"/>
          <w:szCs w:val="24"/>
        </w:rPr>
        <w:t xml:space="preserve"> Anheftung der</w:t>
      </w:r>
      <w:r w:rsidR="0001293E">
        <w:rPr>
          <w:rFonts w:ascii="Times New Roman" w:hAnsi="Times New Roman" w:cs="Times New Roman"/>
          <w:sz w:val="24"/>
          <w:szCs w:val="24"/>
        </w:rPr>
        <w:t xml:space="preserve"> SARS-CoV2-</w:t>
      </w:r>
      <w:r w:rsidR="00670827">
        <w:rPr>
          <w:rFonts w:ascii="Times New Roman" w:hAnsi="Times New Roman" w:cs="Times New Roman"/>
          <w:sz w:val="24"/>
          <w:szCs w:val="24"/>
        </w:rPr>
        <w:t>Virus-</w:t>
      </w:r>
      <w:r w:rsidR="00B33BA1">
        <w:rPr>
          <w:rFonts w:ascii="Times New Roman" w:hAnsi="Times New Roman" w:cs="Times New Roman"/>
          <w:sz w:val="24"/>
          <w:szCs w:val="24"/>
        </w:rPr>
        <w:t xml:space="preserve">Spikes an </w:t>
      </w:r>
      <w:r w:rsidR="008F5DE3">
        <w:rPr>
          <w:rFonts w:ascii="Times New Roman" w:hAnsi="Times New Roman" w:cs="Times New Roman"/>
          <w:sz w:val="24"/>
          <w:szCs w:val="24"/>
        </w:rPr>
        <w:t xml:space="preserve">das Rezeptor-Enzym </w:t>
      </w:r>
      <w:r w:rsidR="00B33BA1">
        <w:rPr>
          <w:rFonts w:ascii="Times New Roman" w:hAnsi="Times New Roman" w:cs="Times New Roman"/>
          <w:sz w:val="24"/>
          <w:szCs w:val="24"/>
        </w:rPr>
        <w:t xml:space="preserve">ACE2 als </w:t>
      </w:r>
      <w:r w:rsidR="002E27D8">
        <w:rPr>
          <w:rFonts w:ascii="Times New Roman" w:hAnsi="Times New Roman" w:cs="Times New Roman"/>
          <w:sz w:val="24"/>
          <w:szCs w:val="24"/>
        </w:rPr>
        <w:t>initial</w:t>
      </w:r>
      <w:r w:rsidR="00B33BA1">
        <w:rPr>
          <w:rFonts w:ascii="Times New Roman" w:hAnsi="Times New Roman" w:cs="Times New Roman"/>
          <w:sz w:val="24"/>
          <w:szCs w:val="24"/>
        </w:rPr>
        <w:t xml:space="preserve">er </w:t>
      </w:r>
      <w:r w:rsidR="00A81702">
        <w:rPr>
          <w:rFonts w:ascii="Times New Roman" w:hAnsi="Times New Roman" w:cs="Times New Roman"/>
          <w:sz w:val="24"/>
          <w:szCs w:val="24"/>
        </w:rPr>
        <w:t>Schritt für den Zelle</w:t>
      </w:r>
      <w:r w:rsidR="00B33BA1">
        <w:rPr>
          <w:rFonts w:ascii="Times New Roman" w:hAnsi="Times New Roman" w:cs="Times New Roman"/>
          <w:sz w:val="24"/>
          <w:szCs w:val="24"/>
        </w:rPr>
        <w:t xml:space="preserve">intritt </w:t>
      </w:r>
      <w:r w:rsidR="00670827">
        <w:rPr>
          <w:rFonts w:ascii="Times New Roman" w:hAnsi="Times New Roman" w:cs="Times New Roman"/>
          <w:sz w:val="24"/>
          <w:szCs w:val="24"/>
        </w:rPr>
        <w:t xml:space="preserve">im Rahmen des Infektionsgeschehens als </w:t>
      </w:r>
      <w:r w:rsidR="002E27D8">
        <w:rPr>
          <w:rFonts w:ascii="Times New Roman" w:hAnsi="Times New Roman" w:cs="Times New Roman"/>
          <w:sz w:val="24"/>
          <w:szCs w:val="24"/>
        </w:rPr>
        <w:t xml:space="preserve">absolut </w:t>
      </w:r>
      <w:r w:rsidR="003A7CDC">
        <w:rPr>
          <w:rFonts w:ascii="Times New Roman" w:hAnsi="Times New Roman" w:cs="Times New Roman"/>
          <w:sz w:val="24"/>
          <w:szCs w:val="24"/>
        </w:rPr>
        <w:t>notwendig</w:t>
      </w:r>
      <w:r w:rsidR="00670827">
        <w:rPr>
          <w:rFonts w:ascii="Times New Roman" w:hAnsi="Times New Roman" w:cs="Times New Roman"/>
          <w:sz w:val="24"/>
          <w:szCs w:val="24"/>
        </w:rPr>
        <w:t xml:space="preserve"> erkannt</w:t>
      </w:r>
      <w:r w:rsidR="003A7CDC">
        <w:rPr>
          <w:rFonts w:ascii="Times New Roman" w:hAnsi="Times New Roman" w:cs="Times New Roman"/>
          <w:sz w:val="24"/>
          <w:szCs w:val="24"/>
        </w:rPr>
        <w:t xml:space="preserve"> und </w:t>
      </w:r>
      <w:r w:rsidR="007D3D86">
        <w:rPr>
          <w:rFonts w:ascii="Times New Roman" w:hAnsi="Times New Roman" w:cs="Times New Roman"/>
          <w:sz w:val="24"/>
          <w:szCs w:val="24"/>
        </w:rPr>
        <w:t xml:space="preserve">unangefochten </w:t>
      </w:r>
      <w:r w:rsidR="00300ACE">
        <w:rPr>
          <w:rFonts w:ascii="Times New Roman" w:hAnsi="Times New Roman" w:cs="Times New Roman"/>
          <w:sz w:val="24"/>
          <w:szCs w:val="24"/>
        </w:rPr>
        <w:t>geblieben</w:t>
      </w:r>
      <w:r w:rsidR="0001293E">
        <w:rPr>
          <w:rFonts w:ascii="Times New Roman" w:hAnsi="Times New Roman" w:cs="Times New Roman"/>
          <w:sz w:val="24"/>
          <w:szCs w:val="24"/>
        </w:rPr>
        <w:t xml:space="preserve"> </w:t>
      </w:r>
      <w:r w:rsidR="00B33BA1">
        <w:rPr>
          <w:rFonts w:ascii="Times New Roman" w:hAnsi="Times New Roman" w:cs="Times New Roman"/>
          <w:sz w:val="24"/>
          <w:szCs w:val="24"/>
        </w:rPr>
        <w:t xml:space="preserve">ist </w:t>
      </w:r>
      <w:r w:rsidR="0001293E">
        <w:rPr>
          <w:rFonts w:ascii="Times New Roman" w:hAnsi="Times New Roman" w:cs="Times New Roman"/>
          <w:sz w:val="24"/>
          <w:szCs w:val="24"/>
        </w:rPr>
        <w:t xml:space="preserve">und die vielfältigen </w:t>
      </w:r>
      <w:r w:rsidR="00DD3D16">
        <w:rPr>
          <w:rFonts w:ascii="Times New Roman" w:hAnsi="Times New Roman" w:cs="Times New Roman"/>
          <w:sz w:val="24"/>
          <w:szCs w:val="24"/>
        </w:rPr>
        <w:t>Organbeeinträchtigungen</w:t>
      </w:r>
      <w:r w:rsidR="00B33BA1">
        <w:rPr>
          <w:rFonts w:ascii="Times New Roman" w:hAnsi="Times New Roman" w:cs="Times New Roman"/>
          <w:sz w:val="24"/>
          <w:szCs w:val="24"/>
        </w:rPr>
        <w:t xml:space="preserve"> der Covid-19 Erkrankung </w:t>
      </w:r>
      <w:r w:rsidR="00381146">
        <w:rPr>
          <w:rFonts w:ascii="Times New Roman" w:hAnsi="Times New Roman" w:cs="Times New Roman"/>
          <w:sz w:val="24"/>
          <w:szCs w:val="24"/>
        </w:rPr>
        <w:t xml:space="preserve">zu </w:t>
      </w:r>
      <w:r w:rsidR="00B33BA1">
        <w:rPr>
          <w:rFonts w:ascii="Times New Roman" w:hAnsi="Times New Roman" w:cs="Times New Roman"/>
          <w:sz w:val="24"/>
          <w:szCs w:val="24"/>
        </w:rPr>
        <w:t>erklär</w:t>
      </w:r>
      <w:r w:rsidR="00381146">
        <w:rPr>
          <w:rFonts w:ascii="Times New Roman" w:hAnsi="Times New Roman" w:cs="Times New Roman"/>
          <w:sz w:val="24"/>
          <w:szCs w:val="24"/>
        </w:rPr>
        <w:t>en vermag</w:t>
      </w:r>
      <w:r w:rsidR="00DD3D16">
        <w:rPr>
          <w:rFonts w:ascii="Times New Roman" w:hAnsi="Times New Roman" w:cs="Times New Roman"/>
          <w:sz w:val="24"/>
          <w:szCs w:val="24"/>
        </w:rPr>
        <w:t xml:space="preserve">, </w:t>
      </w:r>
      <w:r w:rsidR="00B33BA1">
        <w:rPr>
          <w:rFonts w:ascii="Times New Roman" w:hAnsi="Times New Roman" w:cs="Times New Roman"/>
          <w:sz w:val="24"/>
          <w:szCs w:val="24"/>
        </w:rPr>
        <w:t xml:space="preserve">werden </w:t>
      </w:r>
      <w:r w:rsidR="002E27D8">
        <w:rPr>
          <w:rFonts w:ascii="Times New Roman" w:hAnsi="Times New Roman" w:cs="Times New Roman"/>
          <w:sz w:val="24"/>
          <w:szCs w:val="24"/>
        </w:rPr>
        <w:t xml:space="preserve">im Zusammenhang mit der </w:t>
      </w:r>
      <w:r w:rsidR="00670827">
        <w:rPr>
          <w:rFonts w:ascii="Times New Roman" w:hAnsi="Times New Roman" w:cs="Times New Roman"/>
          <w:sz w:val="24"/>
          <w:szCs w:val="24"/>
        </w:rPr>
        <w:t>Covid-19-</w:t>
      </w:r>
      <w:r w:rsidR="002E27D8">
        <w:rPr>
          <w:rFonts w:ascii="Times New Roman" w:hAnsi="Times New Roman" w:cs="Times New Roman"/>
          <w:sz w:val="24"/>
          <w:szCs w:val="24"/>
        </w:rPr>
        <w:t xml:space="preserve">Impfung </w:t>
      </w:r>
      <w:r w:rsidR="00670827">
        <w:rPr>
          <w:rFonts w:ascii="Times New Roman" w:hAnsi="Times New Roman" w:cs="Times New Roman"/>
          <w:sz w:val="24"/>
          <w:szCs w:val="24"/>
        </w:rPr>
        <w:t xml:space="preserve">sowohl </w:t>
      </w:r>
      <w:r w:rsidR="006013F3">
        <w:rPr>
          <w:rFonts w:ascii="Times New Roman" w:hAnsi="Times New Roman" w:cs="Times New Roman"/>
          <w:sz w:val="24"/>
          <w:szCs w:val="24"/>
        </w:rPr>
        <w:t>die (Antigen)Spike-Anheftung an</w:t>
      </w:r>
      <w:r w:rsidR="00670827">
        <w:rPr>
          <w:rFonts w:ascii="Times New Roman" w:hAnsi="Times New Roman" w:cs="Times New Roman"/>
          <w:sz w:val="24"/>
          <w:szCs w:val="24"/>
        </w:rPr>
        <w:t xml:space="preserve"> ACE2 als auch deren Folgen sowie </w:t>
      </w:r>
      <w:r w:rsidR="0043689E">
        <w:rPr>
          <w:rFonts w:ascii="Times New Roman" w:hAnsi="Times New Roman" w:cs="Times New Roman"/>
          <w:sz w:val="24"/>
          <w:szCs w:val="24"/>
        </w:rPr>
        <w:t xml:space="preserve">weitere Spike-Effekte </w:t>
      </w:r>
      <w:r w:rsidR="00754B48">
        <w:rPr>
          <w:rFonts w:ascii="Times New Roman" w:hAnsi="Times New Roman" w:cs="Times New Roman"/>
          <w:sz w:val="24"/>
          <w:szCs w:val="24"/>
        </w:rPr>
        <w:t xml:space="preserve">verschwiegen. </w:t>
      </w:r>
    </w:p>
    <w:p w:rsidR="009440DB" w:rsidRDefault="008F5DE3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ist,</w:t>
      </w:r>
      <w:r w:rsidR="003A7CDC">
        <w:rPr>
          <w:rFonts w:ascii="Times New Roman" w:hAnsi="Times New Roman" w:cs="Times New Roman"/>
          <w:sz w:val="24"/>
          <w:szCs w:val="24"/>
        </w:rPr>
        <w:t xml:space="preserve"> daß </w:t>
      </w:r>
      <w:r w:rsidR="003A1F83">
        <w:rPr>
          <w:rFonts w:ascii="Times New Roman" w:hAnsi="Times New Roman" w:cs="Times New Roman"/>
          <w:sz w:val="24"/>
          <w:szCs w:val="24"/>
        </w:rPr>
        <w:t>Immunitäts-und Nebenwi</w:t>
      </w:r>
      <w:r w:rsidR="003A7CDC">
        <w:rPr>
          <w:rFonts w:ascii="Times New Roman" w:hAnsi="Times New Roman" w:cs="Times New Roman"/>
          <w:sz w:val="24"/>
          <w:szCs w:val="24"/>
        </w:rPr>
        <w:t>rkungs</w:t>
      </w:r>
      <w:r w:rsidR="003A1F83">
        <w:rPr>
          <w:rFonts w:ascii="Times New Roman" w:hAnsi="Times New Roman" w:cs="Times New Roman"/>
          <w:sz w:val="24"/>
          <w:szCs w:val="24"/>
        </w:rPr>
        <w:t xml:space="preserve">auslösung </w:t>
      </w:r>
      <w:r w:rsidR="003A7CDC">
        <w:rPr>
          <w:rFonts w:ascii="Times New Roman" w:hAnsi="Times New Roman" w:cs="Times New Roman"/>
          <w:sz w:val="24"/>
          <w:szCs w:val="24"/>
        </w:rPr>
        <w:t>miteinander verknüpft sind</w:t>
      </w:r>
      <w:r w:rsidR="00E107D1">
        <w:rPr>
          <w:rFonts w:ascii="Times New Roman" w:hAnsi="Times New Roman" w:cs="Times New Roman"/>
          <w:sz w:val="24"/>
          <w:szCs w:val="24"/>
        </w:rPr>
        <w:t xml:space="preserve"> und</w:t>
      </w:r>
      <w:r w:rsidR="00E107D1" w:rsidRPr="00E107D1">
        <w:rPr>
          <w:rFonts w:ascii="Times New Roman" w:hAnsi="Times New Roman" w:cs="Times New Roman"/>
          <w:sz w:val="24"/>
          <w:szCs w:val="24"/>
        </w:rPr>
        <w:t xml:space="preserve"> </w:t>
      </w:r>
      <w:r w:rsidR="00E107D1">
        <w:rPr>
          <w:rFonts w:ascii="Times New Roman" w:hAnsi="Times New Roman" w:cs="Times New Roman"/>
          <w:sz w:val="24"/>
          <w:szCs w:val="24"/>
        </w:rPr>
        <w:t>s</w:t>
      </w:r>
      <w:r w:rsidR="00E107D1" w:rsidRPr="00B451B0">
        <w:rPr>
          <w:rFonts w:ascii="Times New Roman" w:hAnsi="Times New Roman" w:cs="Times New Roman"/>
          <w:sz w:val="24"/>
          <w:szCs w:val="24"/>
        </w:rPr>
        <w:t>pike-basierte Covid-19-Impfstoffe (spike-induzie</w:t>
      </w:r>
      <w:r w:rsidR="0014562D">
        <w:rPr>
          <w:rFonts w:ascii="Times New Roman" w:hAnsi="Times New Roman" w:cs="Times New Roman"/>
          <w:sz w:val="24"/>
          <w:szCs w:val="24"/>
        </w:rPr>
        <w:t>rende</w:t>
      </w:r>
      <w:r w:rsidR="006013F3">
        <w:rPr>
          <w:rFonts w:ascii="Times New Roman" w:hAnsi="Times New Roman" w:cs="Times New Roman"/>
          <w:sz w:val="24"/>
          <w:szCs w:val="24"/>
        </w:rPr>
        <w:t xml:space="preserve"> mRNA- und Adenovirus-Wirk-/Impfstoffe  sowie</w:t>
      </w:r>
      <w:r w:rsidR="0014562D">
        <w:rPr>
          <w:rFonts w:ascii="Times New Roman" w:hAnsi="Times New Roman" w:cs="Times New Roman"/>
          <w:sz w:val="24"/>
          <w:szCs w:val="24"/>
        </w:rPr>
        <w:t xml:space="preserve"> proteinbasierte) </w:t>
      </w:r>
      <w:r w:rsidR="00E107D1" w:rsidRPr="00B451B0">
        <w:rPr>
          <w:rFonts w:ascii="Times New Roman" w:hAnsi="Times New Roman" w:cs="Times New Roman"/>
          <w:sz w:val="24"/>
          <w:szCs w:val="24"/>
        </w:rPr>
        <w:t>durch ein klassenspezifisches</w:t>
      </w:r>
      <w:r w:rsidR="00363C58">
        <w:rPr>
          <w:rFonts w:ascii="Times New Roman" w:hAnsi="Times New Roman" w:cs="Times New Roman"/>
          <w:sz w:val="24"/>
          <w:szCs w:val="24"/>
        </w:rPr>
        <w:t>, typisches</w:t>
      </w:r>
      <w:r w:rsidR="00E107D1" w:rsidRPr="00B451B0">
        <w:rPr>
          <w:rFonts w:ascii="Times New Roman" w:hAnsi="Times New Roman" w:cs="Times New Roman"/>
          <w:sz w:val="24"/>
          <w:szCs w:val="24"/>
        </w:rPr>
        <w:t xml:space="preserve"> Profil unerwünschter </w:t>
      </w:r>
      <w:r w:rsidR="00E107D1" w:rsidRPr="00B451B0">
        <w:rPr>
          <w:rFonts w:ascii="Times New Roman" w:hAnsi="Times New Roman" w:cs="Times New Roman"/>
          <w:sz w:val="24"/>
          <w:szCs w:val="24"/>
        </w:rPr>
        <w:lastRenderedPageBreak/>
        <w:t xml:space="preserve">Reaktionen </w:t>
      </w:r>
      <w:r w:rsidR="0014562D">
        <w:rPr>
          <w:rFonts w:ascii="Times New Roman" w:hAnsi="Times New Roman" w:cs="Times New Roman"/>
          <w:sz w:val="24"/>
          <w:szCs w:val="24"/>
        </w:rPr>
        <w:t>charakterisiert sind</w:t>
      </w:r>
      <w:r w:rsidR="003A1F83">
        <w:rPr>
          <w:rFonts w:ascii="Times New Roman" w:hAnsi="Times New Roman" w:cs="Times New Roman"/>
          <w:sz w:val="24"/>
          <w:szCs w:val="24"/>
        </w:rPr>
        <w:t>.</w:t>
      </w:r>
      <w:r w:rsidR="009A0F67">
        <w:rPr>
          <w:rFonts w:ascii="Times New Roman" w:hAnsi="Times New Roman" w:cs="Times New Roman"/>
          <w:sz w:val="24"/>
          <w:szCs w:val="24"/>
        </w:rPr>
        <w:t xml:space="preserve"> Zusätzliche, im Fertigprodukt enthaltene, galenisch notwendige Substanzen </w:t>
      </w:r>
      <w:r w:rsidR="0014562D">
        <w:rPr>
          <w:rFonts w:ascii="Times New Roman" w:hAnsi="Times New Roman" w:cs="Times New Roman"/>
          <w:sz w:val="24"/>
          <w:szCs w:val="24"/>
        </w:rPr>
        <w:t xml:space="preserve">oder Verunreinigungen </w:t>
      </w:r>
      <w:r w:rsidR="00F53095">
        <w:rPr>
          <w:rFonts w:ascii="Times New Roman" w:hAnsi="Times New Roman" w:cs="Times New Roman"/>
          <w:sz w:val="24"/>
          <w:szCs w:val="24"/>
        </w:rPr>
        <w:t xml:space="preserve">können </w:t>
      </w:r>
      <w:r w:rsidR="009A0F67">
        <w:rPr>
          <w:rFonts w:ascii="Times New Roman" w:hAnsi="Times New Roman" w:cs="Times New Roman"/>
          <w:sz w:val="24"/>
          <w:szCs w:val="24"/>
        </w:rPr>
        <w:t>modulierend hinzu</w:t>
      </w:r>
      <w:r w:rsidR="00F53095">
        <w:rPr>
          <w:rFonts w:ascii="Times New Roman" w:hAnsi="Times New Roman" w:cs="Times New Roman"/>
          <w:sz w:val="24"/>
          <w:szCs w:val="24"/>
        </w:rPr>
        <w:t>kommen</w:t>
      </w:r>
      <w:r w:rsidR="009A0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ACE" w:rsidRDefault="00300ACE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BFA" w:rsidRDefault="00F3255A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Daß </w:t>
      </w:r>
      <w:r w:rsidR="00300ACE">
        <w:rPr>
          <w:rFonts w:ascii="Times New Roman" w:hAnsi="Times New Roman" w:cs="Times New Roman"/>
          <w:sz w:val="24"/>
          <w:szCs w:val="24"/>
        </w:rPr>
        <w:t xml:space="preserve">Hersteller </w:t>
      </w:r>
      <w:r>
        <w:rPr>
          <w:rFonts w:ascii="Times New Roman" w:hAnsi="Times New Roman" w:cs="Times New Roman"/>
          <w:sz w:val="24"/>
          <w:szCs w:val="24"/>
        </w:rPr>
        <w:t xml:space="preserve">und Zulassungsbehörden </w:t>
      </w:r>
      <w:r w:rsidR="00300ACE">
        <w:rPr>
          <w:rFonts w:ascii="Times New Roman" w:hAnsi="Times New Roman" w:cs="Times New Roman"/>
          <w:sz w:val="24"/>
          <w:szCs w:val="24"/>
        </w:rPr>
        <w:t xml:space="preserve">diesen brisanten Mechanismus übersehen haben, ist eigentlich nicht vorstellbar. </w:t>
      </w:r>
      <w:r>
        <w:rPr>
          <w:rFonts w:ascii="Times New Roman" w:hAnsi="Times New Roman" w:cs="Times New Roman"/>
          <w:sz w:val="24"/>
          <w:szCs w:val="24"/>
        </w:rPr>
        <w:t>Eine Antwort auf die Frage, aus welche</w:t>
      </w:r>
      <w:r w:rsidR="007457D8">
        <w:rPr>
          <w:rFonts w:ascii="Times New Roman" w:hAnsi="Times New Roman" w:cs="Times New Roman"/>
          <w:sz w:val="24"/>
          <w:szCs w:val="24"/>
        </w:rPr>
        <w:t>r Intention heraus</w:t>
      </w:r>
      <w:r>
        <w:rPr>
          <w:rFonts w:ascii="Times New Roman" w:hAnsi="Times New Roman" w:cs="Times New Roman"/>
          <w:sz w:val="24"/>
          <w:szCs w:val="24"/>
        </w:rPr>
        <w:t xml:space="preserve"> man </w:t>
      </w:r>
      <w:r w:rsidR="0092124D">
        <w:rPr>
          <w:rFonts w:ascii="Times New Roman" w:hAnsi="Times New Roman" w:cs="Times New Roman"/>
          <w:sz w:val="24"/>
          <w:szCs w:val="24"/>
        </w:rPr>
        <w:t xml:space="preserve">die Impfstoff-Entwicklung auf der Grundlage </w:t>
      </w:r>
      <w:r>
        <w:rPr>
          <w:rFonts w:ascii="Times New Roman" w:hAnsi="Times New Roman" w:cs="Times New Roman"/>
          <w:sz w:val="24"/>
          <w:szCs w:val="24"/>
        </w:rPr>
        <w:t>diese</w:t>
      </w:r>
      <w:r w:rsidR="0092124D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nebenwirkungsträchtigen Spike-Antigen/ACE2-Interaktion gestartet </w:t>
      </w:r>
      <w:r w:rsidR="00517BFA">
        <w:rPr>
          <w:rFonts w:ascii="Times New Roman" w:hAnsi="Times New Roman" w:cs="Times New Roman"/>
          <w:sz w:val="24"/>
          <w:szCs w:val="24"/>
        </w:rPr>
        <w:t xml:space="preserve">und vorangetrieben </w:t>
      </w:r>
      <w:r>
        <w:rPr>
          <w:rFonts w:ascii="Times New Roman" w:hAnsi="Times New Roman" w:cs="Times New Roman"/>
          <w:sz w:val="24"/>
          <w:szCs w:val="24"/>
        </w:rPr>
        <w:t xml:space="preserve">hat, </w:t>
      </w:r>
      <w:r w:rsidR="007457D8">
        <w:rPr>
          <w:rFonts w:ascii="Times New Roman" w:hAnsi="Times New Roman" w:cs="Times New Roman"/>
          <w:sz w:val="24"/>
          <w:szCs w:val="24"/>
        </w:rPr>
        <w:t xml:space="preserve">können nur die Hersteller selbst geben. Bis heute bleibt das ein Rätsel.  </w:t>
      </w:r>
      <w:r w:rsidR="00517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BFA" w:rsidRDefault="00517BFA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11" w:rsidRDefault="00517BFA" w:rsidP="001D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Erwartungsgemäß explodierten die Nebenwirkungsmeldungen</w:t>
      </w:r>
      <w:r w:rsidR="007457D8">
        <w:rPr>
          <w:rFonts w:ascii="Times New Roman" w:hAnsi="Times New Roman" w:cs="Times New Roman"/>
          <w:sz w:val="24"/>
          <w:szCs w:val="24"/>
        </w:rPr>
        <w:t xml:space="preserve"> </w:t>
      </w:r>
      <w:r w:rsidR="00F52B14">
        <w:rPr>
          <w:rFonts w:ascii="Times New Roman" w:hAnsi="Times New Roman" w:cs="Times New Roman"/>
          <w:sz w:val="24"/>
          <w:szCs w:val="24"/>
        </w:rPr>
        <w:t>seit Beginn der Covid-19</w:t>
      </w:r>
      <w:r w:rsidR="00E21D6A">
        <w:rPr>
          <w:rFonts w:ascii="Times New Roman" w:hAnsi="Times New Roman" w:cs="Times New Roman"/>
          <w:sz w:val="24"/>
          <w:szCs w:val="24"/>
        </w:rPr>
        <w:t>-</w:t>
      </w:r>
      <w:r w:rsidR="00F52B14">
        <w:rPr>
          <w:rFonts w:ascii="Times New Roman" w:hAnsi="Times New Roman" w:cs="Times New Roman"/>
          <w:sz w:val="24"/>
          <w:szCs w:val="24"/>
        </w:rPr>
        <w:t xml:space="preserve"> Impfkampagne </w:t>
      </w:r>
      <w:r w:rsidR="007457D8">
        <w:rPr>
          <w:rFonts w:ascii="Times New Roman" w:hAnsi="Times New Roman" w:cs="Times New Roman"/>
          <w:sz w:val="24"/>
          <w:szCs w:val="24"/>
        </w:rPr>
        <w:t>weltweit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124D">
        <w:rPr>
          <w:rFonts w:ascii="Times New Roman" w:hAnsi="Times New Roman" w:cs="Times New Roman"/>
          <w:sz w:val="24"/>
          <w:szCs w:val="24"/>
        </w:rPr>
        <w:t xml:space="preserve"> </w:t>
      </w:r>
      <w:r w:rsidR="007457D8">
        <w:rPr>
          <w:rFonts w:ascii="Times New Roman" w:hAnsi="Times New Roman" w:cs="Times New Roman"/>
          <w:sz w:val="24"/>
          <w:szCs w:val="24"/>
        </w:rPr>
        <w:t>Auch in Deutschland ist s</w:t>
      </w:r>
      <w:r w:rsidR="00067364">
        <w:rPr>
          <w:rFonts w:ascii="Times New Roman" w:hAnsi="Times New Roman" w:cs="Times New Roman"/>
          <w:sz w:val="24"/>
          <w:szCs w:val="24"/>
        </w:rPr>
        <w:t xml:space="preserve">eit Start der </w:t>
      </w:r>
      <w:r w:rsidR="00860F26">
        <w:rPr>
          <w:rFonts w:ascii="Times New Roman" w:hAnsi="Times New Roman" w:cs="Times New Roman"/>
          <w:sz w:val="24"/>
          <w:szCs w:val="24"/>
        </w:rPr>
        <w:t>Covid-19-</w:t>
      </w:r>
      <w:r w:rsidR="007457D8">
        <w:rPr>
          <w:rFonts w:ascii="Times New Roman" w:hAnsi="Times New Roman" w:cs="Times New Roman"/>
          <w:sz w:val="24"/>
          <w:szCs w:val="24"/>
        </w:rPr>
        <w:t xml:space="preserve">Impfkampagne </w:t>
      </w:r>
      <w:r w:rsidR="009E1138">
        <w:rPr>
          <w:rFonts w:ascii="Times New Roman" w:hAnsi="Times New Roman" w:cs="Times New Roman"/>
          <w:sz w:val="24"/>
          <w:szCs w:val="24"/>
        </w:rPr>
        <w:t xml:space="preserve">eine unglaubliche Häufung von Nebenwirkungsmeldungen zu beobachten  </w:t>
      </w:r>
      <w:r w:rsidR="009440DB">
        <w:rPr>
          <w:rFonts w:ascii="Times New Roman" w:hAnsi="Times New Roman" w:cs="Times New Roman"/>
          <w:sz w:val="24"/>
          <w:szCs w:val="24"/>
        </w:rPr>
        <w:t>(</w:t>
      </w:r>
      <w:r w:rsidR="00F53095">
        <w:rPr>
          <w:rFonts w:ascii="Times New Roman" w:hAnsi="Times New Roman" w:cs="Times New Roman"/>
          <w:sz w:val="24"/>
          <w:szCs w:val="24"/>
        </w:rPr>
        <w:t>bis 31.3.2023: 942 298 unerwünschte Reaktionen von 340 282 Betroffenen</w:t>
      </w:r>
      <w:r w:rsidR="009E4342">
        <w:rPr>
          <w:rFonts w:ascii="Times New Roman" w:hAnsi="Times New Roman" w:cs="Times New Roman"/>
          <w:sz w:val="24"/>
          <w:szCs w:val="24"/>
        </w:rPr>
        <w:t xml:space="preserve"> mit 3315 tödlichen Ausgängen</w:t>
      </w:r>
      <w:r w:rsidR="00F53095">
        <w:rPr>
          <w:rFonts w:ascii="Times New Roman" w:hAnsi="Times New Roman" w:cs="Times New Roman"/>
          <w:sz w:val="24"/>
          <w:szCs w:val="24"/>
        </w:rPr>
        <w:t>)</w:t>
      </w:r>
      <w:r w:rsidR="00491640">
        <w:rPr>
          <w:rFonts w:ascii="Times New Roman" w:hAnsi="Times New Roman" w:cs="Times New Roman"/>
          <w:sz w:val="24"/>
          <w:szCs w:val="24"/>
        </w:rPr>
        <w:t xml:space="preserve">, </w:t>
      </w:r>
      <w:r w:rsidR="009E1138">
        <w:rPr>
          <w:rFonts w:ascii="Times New Roman" w:hAnsi="Times New Roman" w:cs="Times New Roman"/>
          <w:sz w:val="24"/>
          <w:szCs w:val="24"/>
        </w:rPr>
        <w:t xml:space="preserve">die </w:t>
      </w:r>
      <w:r w:rsidR="00491640">
        <w:rPr>
          <w:rFonts w:ascii="Times New Roman" w:hAnsi="Times New Roman" w:cs="Times New Roman"/>
          <w:sz w:val="24"/>
          <w:szCs w:val="24"/>
        </w:rPr>
        <w:t>alle Vorstellungen</w:t>
      </w:r>
      <w:r w:rsidR="009E1138" w:rsidRPr="009E1138">
        <w:rPr>
          <w:rFonts w:ascii="Times New Roman" w:hAnsi="Times New Roman" w:cs="Times New Roman"/>
          <w:sz w:val="24"/>
          <w:szCs w:val="24"/>
        </w:rPr>
        <w:t xml:space="preserve"> </w:t>
      </w:r>
      <w:r w:rsidR="009E1138">
        <w:rPr>
          <w:rFonts w:ascii="Times New Roman" w:hAnsi="Times New Roman" w:cs="Times New Roman"/>
          <w:sz w:val="24"/>
          <w:szCs w:val="24"/>
        </w:rPr>
        <w:t>übertreffen</w:t>
      </w:r>
      <w:r w:rsidR="005310E8">
        <w:rPr>
          <w:rFonts w:ascii="Times New Roman" w:hAnsi="Times New Roman" w:cs="Times New Roman"/>
          <w:sz w:val="24"/>
          <w:szCs w:val="24"/>
        </w:rPr>
        <w:t>, die man von</w:t>
      </w:r>
      <w:r w:rsidR="00491640">
        <w:rPr>
          <w:rFonts w:ascii="Times New Roman" w:hAnsi="Times New Roman" w:cs="Times New Roman"/>
          <w:sz w:val="24"/>
          <w:szCs w:val="24"/>
        </w:rPr>
        <w:t xml:space="preserve"> </w:t>
      </w:r>
      <w:r w:rsidR="009E1138">
        <w:rPr>
          <w:rFonts w:ascii="Times New Roman" w:hAnsi="Times New Roman" w:cs="Times New Roman"/>
          <w:sz w:val="24"/>
          <w:szCs w:val="24"/>
        </w:rPr>
        <w:t>der Verträglichkeit e</w:t>
      </w:r>
      <w:r w:rsidR="009E4342">
        <w:rPr>
          <w:rFonts w:ascii="Times New Roman" w:hAnsi="Times New Roman" w:cs="Times New Roman"/>
          <w:sz w:val="24"/>
          <w:szCs w:val="24"/>
        </w:rPr>
        <w:t>ine</w:t>
      </w:r>
      <w:r w:rsidR="005310E8">
        <w:rPr>
          <w:rFonts w:ascii="Times New Roman" w:hAnsi="Times New Roman" w:cs="Times New Roman"/>
          <w:sz w:val="24"/>
          <w:szCs w:val="24"/>
        </w:rPr>
        <w:t xml:space="preserve">r </w:t>
      </w:r>
      <w:r w:rsidR="00491640">
        <w:rPr>
          <w:rFonts w:ascii="Times New Roman" w:hAnsi="Times New Roman" w:cs="Times New Roman"/>
          <w:sz w:val="24"/>
          <w:szCs w:val="24"/>
        </w:rPr>
        <w:t>präventive</w:t>
      </w:r>
      <w:r w:rsidR="009E4342">
        <w:rPr>
          <w:rFonts w:ascii="Times New Roman" w:hAnsi="Times New Roman" w:cs="Times New Roman"/>
          <w:sz w:val="24"/>
          <w:szCs w:val="24"/>
        </w:rPr>
        <w:t>n</w:t>
      </w:r>
      <w:r w:rsidR="00491640">
        <w:rPr>
          <w:rFonts w:ascii="Times New Roman" w:hAnsi="Times New Roman" w:cs="Times New Roman"/>
          <w:sz w:val="24"/>
          <w:szCs w:val="24"/>
        </w:rPr>
        <w:t xml:space="preserve"> </w:t>
      </w:r>
      <w:r w:rsidR="005310E8">
        <w:rPr>
          <w:rFonts w:ascii="Times New Roman" w:hAnsi="Times New Roman" w:cs="Times New Roman"/>
          <w:sz w:val="24"/>
          <w:szCs w:val="24"/>
        </w:rPr>
        <w:t xml:space="preserve">Impfung </w:t>
      </w:r>
      <w:r w:rsidR="009E4342">
        <w:rPr>
          <w:rFonts w:ascii="Times New Roman" w:hAnsi="Times New Roman" w:cs="Times New Roman"/>
          <w:sz w:val="24"/>
          <w:szCs w:val="24"/>
        </w:rPr>
        <w:t>Gesunde</w:t>
      </w:r>
      <w:r w:rsidR="005310E8">
        <w:rPr>
          <w:rFonts w:ascii="Times New Roman" w:hAnsi="Times New Roman" w:cs="Times New Roman"/>
          <w:sz w:val="24"/>
          <w:szCs w:val="24"/>
        </w:rPr>
        <w:t>r</w:t>
      </w:r>
      <w:r w:rsidR="009E4342">
        <w:rPr>
          <w:rFonts w:ascii="Times New Roman" w:hAnsi="Times New Roman" w:cs="Times New Roman"/>
          <w:sz w:val="24"/>
          <w:szCs w:val="24"/>
        </w:rPr>
        <w:t xml:space="preserve"> </w:t>
      </w:r>
      <w:r w:rsidR="005310E8">
        <w:rPr>
          <w:rFonts w:ascii="Times New Roman" w:hAnsi="Times New Roman" w:cs="Times New Roman"/>
          <w:sz w:val="24"/>
          <w:szCs w:val="24"/>
        </w:rPr>
        <w:t>erwartet hätte</w:t>
      </w:r>
      <w:r w:rsidR="00491640">
        <w:rPr>
          <w:rFonts w:ascii="Times New Roman" w:hAnsi="Times New Roman" w:cs="Times New Roman"/>
          <w:sz w:val="24"/>
          <w:szCs w:val="24"/>
        </w:rPr>
        <w:t xml:space="preserve">. </w:t>
      </w:r>
      <w:r w:rsidR="003A2711">
        <w:rPr>
          <w:rFonts w:ascii="Times New Roman" w:hAnsi="Times New Roman" w:cs="Times New Roman"/>
          <w:sz w:val="24"/>
          <w:szCs w:val="24"/>
        </w:rPr>
        <w:t>Auffallend</w:t>
      </w:r>
      <w:r w:rsidR="007457D8">
        <w:rPr>
          <w:rFonts w:ascii="Times New Roman" w:hAnsi="Times New Roman" w:cs="Times New Roman"/>
          <w:sz w:val="24"/>
          <w:szCs w:val="24"/>
        </w:rPr>
        <w:t xml:space="preserve"> im abschließenden Sa</w:t>
      </w:r>
      <w:r w:rsidR="0043689E">
        <w:rPr>
          <w:rFonts w:ascii="Times New Roman" w:hAnsi="Times New Roman" w:cs="Times New Roman"/>
          <w:sz w:val="24"/>
          <w:szCs w:val="24"/>
        </w:rPr>
        <w:t>ch</w:t>
      </w:r>
      <w:r w:rsidR="007457D8">
        <w:rPr>
          <w:rFonts w:ascii="Times New Roman" w:hAnsi="Times New Roman" w:cs="Times New Roman"/>
          <w:sz w:val="24"/>
          <w:szCs w:val="24"/>
        </w:rPr>
        <w:t>stands</w:t>
      </w:r>
      <w:r w:rsidR="0043689E">
        <w:rPr>
          <w:rFonts w:ascii="Times New Roman" w:hAnsi="Times New Roman" w:cs="Times New Roman"/>
          <w:sz w:val="24"/>
          <w:szCs w:val="24"/>
        </w:rPr>
        <w:t xml:space="preserve">bericht  des PEI </w:t>
      </w:r>
      <w:r w:rsidR="007457D8">
        <w:rPr>
          <w:rFonts w:ascii="Times New Roman" w:hAnsi="Times New Roman" w:cs="Times New Roman"/>
          <w:sz w:val="24"/>
          <w:szCs w:val="24"/>
        </w:rPr>
        <w:t xml:space="preserve">aus dem Jahr 2023 </w:t>
      </w:r>
      <w:r w:rsidR="0043689E">
        <w:rPr>
          <w:rFonts w:ascii="Times New Roman" w:hAnsi="Times New Roman" w:cs="Times New Roman"/>
          <w:sz w:val="24"/>
          <w:szCs w:val="24"/>
        </w:rPr>
        <w:t>(</w:t>
      </w:r>
      <w:r w:rsidR="00A81702">
        <w:rPr>
          <w:rFonts w:ascii="Times New Roman" w:hAnsi="Times New Roman" w:cs="Times New Roman"/>
          <w:sz w:val="24"/>
          <w:szCs w:val="24"/>
        </w:rPr>
        <w:t>4</w:t>
      </w:r>
      <w:r w:rsidR="0043689E">
        <w:rPr>
          <w:rFonts w:ascii="Times New Roman" w:hAnsi="Times New Roman" w:cs="Times New Roman"/>
          <w:sz w:val="24"/>
          <w:szCs w:val="24"/>
        </w:rPr>
        <w:t>)</w:t>
      </w:r>
      <w:r w:rsidR="003A2711">
        <w:rPr>
          <w:rFonts w:ascii="Times New Roman" w:hAnsi="Times New Roman" w:cs="Times New Roman"/>
          <w:sz w:val="24"/>
          <w:szCs w:val="24"/>
        </w:rPr>
        <w:t xml:space="preserve"> ist das Fehlen jeglicher unerwarteter Todesfälle ohne vorangegangene Nebenwirkung</w:t>
      </w:r>
      <w:r w:rsidR="0092124D">
        <w:rPr>
          <w:rFonts w:ascii="Times New Roman" w:hAnsi="Times New Roman" w:cs="Times New Roman"/>
          <w:sz w:val="24"/>
          <w:szCs w:val="24"/>
        </w:rPr>
        <w:t xml:space="preserve">. Doch diese gibt es. </w:t>
      </w:r>
      <w:r w:rsidR="003A2711">
        <w:rPr>
          <w:rFonts w:ascii="Times New Roman" w:hAnsi="Times New Roman" w:cs="Times New Roman"/>
          <w:sz w:val="24"/>
          <w:szCs w:val="24"/>
        </w:rPr>
        <w:t xml:space="preserve">Insbesondere </w:t>
      </w:r>
      <w:r w:rsidR="00E63A70">
        <w:rPr>
          <w:rFonts w:ascii="Times New Roman" w:hAnsi="Times New Roman" w:cs="Times New Roman"/>
          <w:sz w:val="24"/>
          <w:szCs w:val="24"/>
        </w:rPr>
        <w:t xml:space="preserve">muß in diesem Zusammenhang </w:t>
      </w:r>
      <w:r w:rsidR="003A2711">
        <w:rPr>
          <w:rFonts w:ascii="Times New Roman" w:hAnsi="Times New Roman" w:cs="Times New Roman"/>
          <w:sz w:val="24"/>
          <w:szCs w:val="24"/>
        </w:rPr>
        <w:t>an den Beginn der Impfkampagne bei Hochbetagten erinnert</w:t>
      </w:r>
      <w:r w:rsidR="00E63A70">
        <w:rPr>
          <w:rFonts w:ascii="Times New Roman" w:hAnsi="Times New Roman" w:cs="Times New Roman"/>
          <w:sz w:val="24"/>
          <w:szCs w:val="24"/>
        </w:rPr>
        <w:t xml:space="preserve"> werden</w:t>
      </w:r>
      <w:r w:rsidR="003A2711">
        <w:rPr>
          <w:rFonts w:ascii="Times New Roman" w:hAnsi="Times New Roman" w:cs="Times New Roman"/>
          <w:sz w:val="24"/>
          <w:szCs w:val="24"/>
        </w:rPr>
        <w:t xml:space="preserve">, </w:t>
      </w:r>
      <w:r w:rsidR="00E63A70">
        <w:rPr>
          <w:rFonts w:ascii="Times New Roman" w:hAnsi="Times New Roman" w:cs="Times New Roman"/>
          <w:sz w:val="24"/>
          <w:szCs w:val="24"/>
        </w:rPr>
        <w:t xml:space="preserve">die zu zahlreichen </w:t>
      </w:r>
      <w:r w:rsidR="00060DA9">
        <w:rPr>
          <w:rFonts w:ascii="Times New Roman" w:hAnsi="Times New Roman" w:cs="Times New Roman"/>
          <w:sz w:val="24"/>
          <w:szCs w:val="24"/>
        </w:rPr>
        <w:t xml:space="preserve">dramatischen </w:t>
      </w:r>
      <w:r w:rsidR="00E63A70">
        <w:rPr>
          <w:rFonts w:ascii="Times New Roman" w:hAnsi="Times New Roman" w:cs="Times New Roman"/>
          <w:sz w:val="24"/>
          <w:szCs w:val="24"/>
        </w:rPr>
        <w:t>Berichte</w:t>
      </w:r>
      <w:r w:rsidR="0092124D">
        <w:rPr>
          <w:rFonts w:ascii="Times New Roman" w:hAnsi="Times New Roman" w:cs="Times New Roman"/>
          <w:sz w:val="24"/>
          <w:szCs w:val="24"/>
        </w:rPr>
        <w:t xml:space="preserve">n in der Regionalpresse Anlaß gab. </w:t>
      </w:r>
      <w:r w:rsidR="00E63A70">
        <w:rPr>
          <w:rFonts w:ascii="Times New Roman" w:hAnsi="Times New Roman" w:cs="Times New Roman"/>
          <w:sz w:val="24"/>
          <w:szCs w:val="24"/>
        </w:rPr>
        <w:t>D</w:t>
      </w:r>
      <w:r w:rsidR="003A2711">
        <w:rPr>
          <w:rFonts w:ascii="Times New Roman" w:hAnsi="Times New Roman" w:cs="Times New Roman"/>
          <w:sz w:val="24"/>
          <w:szCs w:val="24"/>
        </w:rPr>
        <w:t xml:space="preserve">ie wesentlich umfangreichere </w:t>
      </w:r>
      <w:r w:rsidR="00E63A70">
        <w:rPr>
          <w:rFonts w:ascii="Times New Roman" w:hAnsi="Times New Roman" w:cs="Times New Roman"/>
          <w:sz w:val="24"/>
          <w:szCs w:val="24"/>
        </w:rPr>
        <w:t>Pharmakovigilanz-Datenbank der EMA, die EudraV</w:t>
      </w:r>
      <w:r w:rsidR="003A2711">
        <w:rPr>
          <w:rFonts w:ascii="Times New Roman" w:hAnsi="Times New Roman" w:cs="Times New Roman"/>
          <w:sz w:val="24"/>
          <w:szCs w:val="24"/>
        </w:rPr>
        <w:t xml:space="preserve">igilanz, </w:t>
      </w:r>
      <w:r w:rsidR="00000B94">
        <w:rPr>
          <w:rFonts w:ascii="Times New Roman" w:hAnsi="Times New Roman" w:cs="Times New Roman"/>
          <w:sz w:val="24"/>
          <w:szCs w:val="24"/>
        </w:rPr>
        <w:t>enthielt</w:t>
      </w:r>
      <w:r w:rsidR="00EA654C">
        <w:rPr>
          <w:rFonts w:ascii="Times New Roman" w:hAnsi="Times New Roman" w:cs="Times New Roman"/>
          <w:sz w:val="24"/>
          <w:szCs w:val="24"/>
        </w:rPr>
        <w:t xml:space="preserve"> </w:t>
      </w:r>
      <w:r w:rsidR="00000B94">
        <w:rPr>
          <w:rFonts w:ascii="Times New Roman" w:hAnsi="Times New Roman" w:cs="Times New Roman"/>
          <w:sz w:val="24"/>
          <w:szCs w:val="24"/>
        </w:rPr>
        <w:t>nur für Tozinameran (Comirnaty</w:t>
      </w:r>
      <w:r w:rsidR="00000B94" w:rsidRPr="00C25B44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="00000B94">
        <w:rPr>
          <w:rFonts w:ascii="Times New Roman" w:hAnsi="Times New Roman" w:cs="Times New Roman"/>
          <w:sz w:val="24"/>
          <w:szCs w:val="24"/>
        </w:rPr>
        <w:t xml:space="preserve">) </w:t>
      </w:r>
      <w:r w:rsidR="00EA654C">
        <w:rPr>
          <w:rFonts w:ascii="Times New Roman" w:hAnsi="Times New Roman" w:cs="Times New Roman"/>
          <w:sz w:val="24"/>
          <w:szCs w:val="24"/>
        </w:rPr>
        <w:t>bis 31. Juli 2023 5424 Berichte über Herzstillstand, kardiorespiratorische</w:t>
      </w:r>
      <w:r w:rsidR="00C25B44">
        <w:rPr>
          <w:rFonts w:ascii="Times New Roman" w:hAnsi="Times New Roman" w:cs="Times New Roman"/>
          <w:sz w:val="24"/>
          <w:szCs w:val="24"/>
        </w:rPr>
        <w:t>n</w:t>
      </w:r>
      <w:r w:rsidR="00EA654C">
        <w:rPr>
          <w:rFonts w:ascii="Times New Roman" w:hAnsi="Times New Roman" w:cs="Times New Roman"/>
          <w:sz w:val="24"/>
          <w:szCs w:val="24"/>
        </w:rPr>
        <w:t xml:space="preserve"> Stillstand, Herztod, Tod, plötzliche</w:t>
      </w:r>
      <w:r w:rsidR="00C25B44">
        <w:rPr>
          <w:rFonts w:ascii="Times New Roman" w:hAnsi="Times New Roman" w:cs="Times New Roman"/>
          <w:sz w:val="24"/>
          <w:szCs w:val="24"/>
        </w:rPr>
        <w:t xml:space="preserve">n Herztod, plötzlichen Tod, toxische Kardiomyopathie </w:t>
      </w:r>
      <w:r w:rsidR="00EA654C">
        <w:rPr>
          <w:rFonts w:ascii="Times New Roman" w:hAnsi="Times New Roman" w:cs="Times New Roman"/>
          <w:sz w:val="24"/>
          <w:szCs w:val="24"/>
        </w:rPr>
        <w:t>und My</w:t>
      </w:r>
      <w:r w:rsidR="00C25B44">
        <w:rPr>
          <w:rFonts w:ascii="Times New Roman" w:hAnsi="Times New Roman" w:cs="Times New Roman"/>
          <w:sz w:val="24"/>
          <w:szCs w:val="24"/>
        </w:rPr>
        <w:t>okardruptur, bei denen in 86% jede Hilfe zu spät kam. Von insgesamt 1 231 990 Nebenwirkung</w:t>
      </w:r>
      <w:r w:rsidR="00A10FF7">
        <w:rPr>
          <w:rFonts w:ascii="Times New Roman" w:hAnsi="Times New Roman" w:cs="Times New Roman"/>
          <w:sz w:val="24"/>
          <w:szCs w:val="24"/>
        </w:rPr>
        <w:t>sbericht</w:t>
      </w:r>
      <w:r w:rsidR="00C25B44">
        <w:rPr>
          <w:rFonts w:ascii="Times New Roman" w:hAnsi="Times New Roman" w:cs="Times New Roman"/>
          <w:sz w:val="24"/>
          <w:szCs w:val="24"/>
        </w:rPr>
        <w:t>en ging</w:t>
      </w:r>
      <w:r w:rsidR="00A81702">
        <w:rPr>
          <w:rFonts w:ascii="Times New Roman" w:hAnsi="Times New Roman" w:cs="Times New Roman"/>
          <w:sz w:val="24"/>
          <w:szCs w:val="24"/>
        </w:rPr>
        <w:t>en 24 489 (1,99%) tödlich aus (5</w:t>
      </w:r>
      <w:r w:rsidR="00C25B4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E0086" w:rsidRDefault="001D16AA" w:rsidP="001D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Berücksichtigung des bekannten Phänomens des ‚Underreporting‘ liegen die echten Zahlen vermutlich noch wesentlich darüber. </w:t>
      </w:r>
      <w:r w:rsidR="00F57990">
        <w:rPr>
          <w:rFonts w:ascii="Times New Roman" w:hAnsi="Times New Roman" w:cs="Times New Roman"/>
          <w:sz w:val="24"/>
          <w:szCs w:val="24"/>
        </w:rPr>
        <w:t>Di</w:t>
      </w:r>
      <w:r w:rsidR="007D3D86">
        <w:rPr>
          <w:rFonts w:ascii="Times New Roman" w:hAnsi="Times New Roman" w:cs="Times New Roman"/>
          <w:sz w:val="24"/>
          <w:szCs w:val="24"/>
        </w:rPr>
        <w:t>e Signalkraft dieser Zahlen</w:t>
      </w:r>
      <w:r w:rsidR="00F57990">
        <w:rPr>
          <w:rFonts w:ascii="Times New Roman" w:hAnsi="Times New Roman" w:cs="Times New Roman"/>
          <w:sz w:val="24"/>
          <w:szCs w:val="24"/>
        </w:rPr>
        <w:t xml:space="preserve"> allein </w:t>
      </w:r>
      <w:r w:rsidR="007D3D86">
        <w:rPr>
          <w:rFonts w:ascii="Times New Roman" w:hAnsi="Times New Roman" w:cs="Times New Roman"/>
          <w:sz w:val="24"/>
          <w:szCs w:val="24"/>
        </w:rPr>
        <w:t xml:space="preserve">hätte </w:t>
      </w:r>
      <w:r w:rsidR="00F57990">
        <w:rPr>
          <w:rFonts w:ascii="Times New Roman" w:hAnsi="Times New Roman" w:cs="Times New Roman"/>
          <w:sz w:val="24"/>
          <w:szCs w:val="24"/>
        </w:rPr>
        <w:t xml:space="preserve">schon längst ein Schrillen aller Alarmglocken auslösen müssen. Doch </w:t>
      </w:r>
      <w:r w:rsidR="00F6057D">
        <w:rPr>
          <w:rFonts w:ascii="Times New Roman" w:hAnsi="Times New Roman" w:cs="Times New Roman"/>
          <w:sz w:val="24"/>
          <w:szCs w:val="24"/>
        </w:rPr>
        <w:t xml:space="preserve">die Pharmakovigilanz-Verantwortlichen fanden </w:t>
      </w:r>
      <w:r w:rsidR="00925E59">
        <w:rPr>
          <w:rFonts w:ascii="Times New Roman" w:hAnsi="Times New Roman" w:cs="Times New Roman"/>
          <w:sz w:val="24"/>
          <w:szCs w:val="24"/>
        </w:rPr>
        <w:t xml:space="preserve">wiederholt </w:t>
      </w:r>
      <w:r w:rsidR="00756781">
        <w:rPr>
          <w:rFonts w:ascii="Times New Roman" w:hAnsi="Times New Roman" w:cs="Times New Roman"/>
          <w:sz w:val="24"/>
          <w:szCs w:val="24"/>
        </w:rPr>
        <w:t xml:space="preserve">einleuchtende Gründe </w:t>
      </w:r>
      <w:r w:rsidR="00916A21">
        <w:rPr>
          <w:rFonts w:ascii="Times New Roman" w:hAnsi="Times New Roman" w:cs="Times New Roman"/>
          <w:sz w:val="24"/>
          <w:szCs w:val="24"/>
        </w:rPr>
        <w:t>unter Verleugnung spike(antigen)-bedingter</w:t>
      </w:r>
      <w:r w:rsidR="00F6057D">
        <w:rPr>
          <w:rFonts w:ascii="Times New Roman" w:hAnsi="Times New Roman" w:cs="Times New Roman"/>
          <w:sz w:val="24"/>
          <w:szCs w:val="24"/>
        </w:rPr>
        <w:t xml:space="preserve"> </w:t>
      </w:r>
      <w:r w:rsidR="00464239">
        <w:rPr>
          <w:rFonts w:ascii="Times New Roman" w:hAnsi="Times New Roman" w:cs="Times New Roman"/>
          <w:sz w:val="24"/>
          <w:szCs w:val="24"/>
        </w:rPr>
        <w:t>Wirkm</w:t>
      </w:r>
      <w:r w:rsidR="00F6057D">
        <w:rPr>
          <w:rFonts w:ascii="Times New Roman" w:hAnsi="Times New Roman" w:cs="Times New Roman"/>
          <w:sz w:val="24"/>
          <w:szCs w:val="24"/>
        </w:rPr>
        <w:t>echanism</w:t>
      </w:r>
      <w:r w:rsidR="00916A21">
        <w:rPr>
          <w:rFonts w:ascii="Times New Roman" w:hAnsi="Times New Roman" w:cs="Times New Roman"/>
          <w:sz w:val="24"/>
          <w:szCs w:val="24"/>
        </w:rPr>
        <w:t>en</w:t>
      </w:r>
      <w:r w:rsidR="00860F26">
        <w:rPr>
          <w:rFonts w:ascii="Times New Roman" w:hAnsi="Times New Roman" w:cs="Times New Roman"/>
          <w:sz w:val="24"/>
          <w:szCs w:val="24"/>
        </w:rPr>
        <w:t>,</w:t>
      </w:r>
      <w:r w:rsidR="00F6057D">
        <w:rPr>
          <w:rFonts w:ascii="Times New Roman" w:hAnsi="Times New Roman" w:cs="Times New Roman"/>
          <w:sz w:val="24"/>
          <w:szCs w:val="24"/>
        </w:rPr>
        <w:t xml:space="preserve"> </w:t>
      </w:r>
      <w:r w:rsidR="009142F0">
        <w:rPr>
          <w:rFonts w:ascii="Times New Roman" w:hAnsi="Times New Roman" w:cs="Times New Roman"/>
          <w:sz w:val="24"/>
          <w:szCs w:val="24"/>
        </w:rPr>
        <w:t xml:space="preserve">keine </w:t>
      </w:r>
      <w:r w:rsidR="00916A21">
        <w:rPr>
          <w:rFonts w:ascii="Times New Roman" w:hAnsi="Times New Roman" w:cs="Times New Roman"/>
          <w:sz w:val="24"/>
          <w:szCs w:val="24"/>
        </w:rPr>
        <w:t xml:space="preserve">Kausalität </w:t>
      </w:r>
      <w:r w:rsidR="009142F0">
        <w:rPr>
          <w:rFonts w:ascii="Times New Roman" w:hAnsi="Times New Roman" w:cs="Times New Roman"/>
          <w:sz w:val="24"/>
          <w:szCs w:val="24"/>
        </w:rPr>
        <w:t>zwischen Symptomatik</w:t>
      </w:r>
      <w:r w:rsidR="006A5ADC">
        <w:rPr>
          <w:rFonts w:ascii="Times New Roman" w:hAnsi="Times New Roman" w:cs="Times New Roman"/>
          <w:sz w:val="24"/>
          <w:szCs w:val="24"/>
        </w:rPr>
        <w:t xml:space="preserve"> oder Todesfall</w:t>
      </w:r>
      <w:r w:rsidR="009142F0">
        <w:rPr>
          <w:rFonts w:ascii="Times New Roman" w:hAnsi="Times New Roman" w:cs="Times New Roman"/>
          <w:sz w:val="24"/>
          <w:szCs w:val="24"/>
        </w:rPr>
        <w:t xml:space="preserve"> und Impfung anzunehmen. </w:t>
      </w:r>
      <w:r w:rsidR="00925E59">
        <w:rPr>
          <w:rFonts w:ascii="Times New Roman" w:hAnsi="Times New Roman" w:cs="Times New Roman"/>
          <w:sz w:val="24"/>
          <w:szCs w:val="24"/>
        </w:rPr>
        <w:t xml:space="preserve">Vorgeschobene Gründe waren </w:t>
      </w:r>
      <w:r w:rsidR="007B72A5">
        <w:rPr>
          <w:rFonts w:ascii="Times New Roman" w:hAnsi="Times New Roman" w:cs="Times New Roman"/>
          <w:sz w:val="24"/>
          <w:szCs w:val="24"/>
        </w:rPr>
        <w:t xml:space="preserve">bestehende </w:t>
      </w:r>
      <w:r w:rsidR="00464239">
        <w:rPr>
          <w:rFonts w:ascii="Times New Roman" w:hAnsi="Times New Roman" w:cs="Times New Roman"/>
          <w:sz w:val="24"/>
          <w:szCs w:val="24"/>
        </w:rPr>
        <w:t>Komorbidität</w:t>
      </w:r>
      <w:r w:rsidR="00874D55">
        <w:rPr>
          <w:rFonts w:ascii="Times New Roman" w:hAnsi="Times New Roman" w:cs="Times New Roman"/>
          <w:sz w:val="24"/>
          <w:szCs w:val="24"/>
        </w:rPr>
        <w:t>, höheres Lebensalter</w:t>
      </w:r>
      <w:r w:rsidR="00F24E1C">
        <w:rPr>
          <w:rFonts w:ascii="Times New Roman" w:hAnsi="Times New Roman" w:cs="Times New Roman"/>
          <w:sz w:val="24"/>
          <w:szCs w:val="24"/>
        </w:rPr>
        <w:t xml:space="preserve">, </w:t>
      </w:r>
      <w:r w:rsidR="009142F0">
        <w:rPr>
          <w:rFonts w:ascii="Times New Roman" w:hAnsi="Times New Roman" w:cs="Times New Roman"/>
          <w:sz w:val="24"/>
          <w:szCs w:val="24"/>
        </w:rPr>
        <w:t xml:space="preserve">Reaktogenität, angstbedingte Reaktionen, </w:t>
      </w:r>
      <w:r w:rsidR="00F24E1C">
        <w:rPr>
          <w:rFonts w:ascii="Times New Roman" w:hAnsi="Times New Roman" w:cs="Times New Roman"/>
          <w:sz w:val="24"/>
          <w:szCs w:val="24"/>
        </w:rPr>
        <w:t>unplausibler zeitlicher</w:t>
      </w:r>
      <w:r w:rsidR="00DE13A2">
        <w:rPr>
          <w:rFonts w:ascii="Times New Roman" w:hAnsi="Times New Roman" w:cs="Times New Roman"/>
          <w:sz w:val="24"/>
          <w:szCs w:val="24"/>
        </w:rPr>
        <w:t xml:space="preserve"> </w:t>
      </w:r>
      <w:r w:rsidR="00F24E1C">
        <w:rPr>
          <w:rFonts w:ascii="Times New Roman" w:hAnsi="Times New Roman" w:cs="Times New Roman"/>
          <w:sz w:val="24"/>
          <w:szCs w:val="24"/>
        </w:rPr>
        <w:t>Abstand zur Impfung</w:t>
      </w:r>
      <w:r w:rsidR="00464239">
        <w:rPr>
          <w:rFonts w:ascii="Times New Roman" w:hAnsi="Times New Roman" w:cs="Times New Roman"/>
          <w:sz w:val="24"/>
          <w:szCs w:val="24"/>
        </w:rPr>
        <w:t xml:space="preserve"> oder ein ähnlich häufiges Vorkommen in der Bevölkerung.</w:t>
      </w:r>
      <w:r w:rsidR="00EF069B">
        <w:rPr>
          <w:rFonts w:ascii="Times New Roman" w:hAnsi="Times New Roman" w:cs="Times New Roman"/>
          <w:sz w:val="24"/>
          <w:szCs w:val="24"/>
        </w:rPr>
        <w:t xml:space="preserve"> </w:t>
      </w:r>
      <w:r w:rsidR="009142F0">
        <w:rPr>
          <w:rFonts w:ascii="Times New Roman" w:hAnsi="Times New Roman" w:cs="Times New Roman"/>
          <w:sz w:val="24"/>
          <w:szCs w:val="24"/>
        </w:rPr>
        <w:t>So gelang es</w:t>
      </w:r>
      <w:r w:rsidR="007B72A5">
        <w:rPr>
          <w:rFonts w:ascii="Times New Roman" w:hAnsi="Times New Roman" w:cs="Times New Roman"/>
          <w:sz w:val="24"/>
          <w:szCs w:val="24"/>
        </w:rPr>
        <w:t xml:space="preserve"> </w:t>
      </w:r>
      <w:r w:rsidR="006A5ADC">
        <w:rPr>
          <w:rFonts w:ascii="Times New Roman" w:hAnsi="Times New Roman" w:cs="Times New Roman"/>
          <w:sz w:val="24"/>
          <w:szCs w:val="24"/>
        </w:rPr>
        <w:t xml:space="preserve">u.a. auch </w:t>
      </w:r>
      <w:r w:rsidR="009142F0">
        <w:rPr>
          <w:rFonts w:ascii="Times New Roman" w:hAnsi="Times New Roman" w:cs="Times New Roman"/>
          <w:sz w:val="24"/>
          <w:szCs w:val="24"/>
        </w:rPr>
        <w:t xml:space="preserve"> 3315 tödlich verlaufene Nebenwirkungen auf 127</w:t>
      </w:r>
      <w:r w:rsidR="00925E59" w:rsidRPr="00925E59">
        <w:rPr>
          <w:rFonts w:ascii="Times New Roman" w:hAnsi="Times New Roman" w:cs="Times New Roman"/>
          <w:sz w:val="24"/>
          <w:szCs w:val="24"/>
        </w:rPr>
        <w:t xml:space="preserve"> </w:t>
      </w:r>
      <w:r w:rsidR="00925E59">
        <w:rPr>
          <w:rFonts w:ascii="Times New Roman" w:hAnsi="Times New Roman" w:cs="Times New Roman"/>
          <w:sz w:val="24"/>
          <w:szCs w:val="24"/>
        </w:rPr>
        <w:t>zu schrumpfen</w:t>
      </w:r>
      <w:r w:rsidR="007B72A5">
        <w:rPr>
          <w:rFonts w:ascii="Times New Roman" w:hAnsi="Times New Roman" w:cs="Times New Roman"/>
          <w:sz w:val="24"/>
          <w:szCs w:val="24"/>
        </w:rPr>
        <w:t>,</w:t>
      </w:r>
      <w:r w:rsidR="009142F0">
        <w:rPr>
          <w:rFonts w:ascii="Times New Roman" w:hAnsi="Times New Roman" w:cs="Times New Roman"/>
          <w:sz w:val="24"/>
          <w:szCs w:val="24"/>
        </w:rPr>
        <w:t xml:space="preserve"> </w:t>
      </w:r>
      <w:r w:rsidR="007B1173">
        <w:rPr>
          <w:rFonts w:ascii="Times New Roman" w:hAnsi="Times New Roman" w:cs="Times New Roman"/>
          <w:sz w:val="24"/>
          <w:szCs w:val="24"/>
        </w:rPr>
        <w:t>bei denen e</w:t>
      </w:r>
      <w:r w:rsidR="009142F0">
        <w:rPr>
          <w:rFonts w:ascii="Times New Roman" w:hAnsi="Times New Roman" w:cs="Times New Roman"/>
          <w:sz w:val="24"/>
          <w:szCs w:val="24"/>
        </w:rPr>
        <w:t>in ursächliche</w:t>
      </w:r>
      <w:r w:rsidR="007B1173">
        <w:rPr>
          <w:rFonts w:ascii="Times New Roman" w:hAnsi="Times New Roman" w:cs="Times New Roman"/>
          <w:sz w:val="24"/>
          <w:szCs w:val="24"/>
        </w:rPr>
        <w:t>r</w:t>
      </w:r>
      <w:r w:rsidR="009142F0">
        <w:rPr>
          <w:rFonts w:ascii="Times New Roman" w:hAnsi="Times New Roman" w:cs="Times New Roman"/>
          <w:sz w:val="24"/>
          <w:szCs w:val="24"/>
        </w:rPr>
        <w:t xml:space="preserve"> Zusammenhang mit der Impfung </w:t>
      </w:r>
      <w:r w:rsidR="007B1173">
        <w:rPr>
          <w:rFonts w:ascii="Times New Roman" w:hAnsi="Times New Roman" w:cs="Times New Roman"/>
          <w:sz w:val="24"/>
          <w:szCs w:val="24"/>
        </w:rPr>
        <w:t>angenommen</w:t>
      </w:r>
      <w:r w:rsidR="00925E59">
        <w:rPr>
          <w:rFonts w:ascii="Times New Roman" w:hAnsi="Times New Roman" w:cs="Times New Roman"/>
          <w:sz w:val="24"/>
          <w:szCs w:val="24"/>
        </w:rPr>
        <w:t xml:space="preserve"> wurde</w:t>
      </w:r>
      <w:r w:rsidR="006A5ADC">
        <w:rPr>
          <w:rFonts w:ascii="Times New Roman" w:hAnsi="Times New Roman" w:cs="Times New Roman"/>
          <w:sz w:val="24"/>
          <w:szCs w:val="24"/>
        </w:rPr>
        <w:t xml:space="preserve"> (</w:t>
      </w:r>
      <w:r w:rsidR="000E0086">
        <w:rPr>
          <w:rFonts w:ascii="Times New Roman" w:hAnsi="Times New Roman" w:cs="Times New Roman"/>
          <w:sz w:val="24"/>
          <w:szCs w:val="24"/>
        </w:rPr>
        <w:t>4</w:t>
      </w:r>
      <w:r w:rsidR="006A5ADC">
        <w:rPr>
          <w:rFonts w:ascii="Times New Roman" w:hAnsi="Times New Roman" w:cs="Times New Roman"/>
          <w:sz w:val="24"/>
          <w:szCs w:val="24"/>
        </w:rPr>
        <w:t>)</w:t>
      </w:r>
      <w:r w:rsidR="00925E59">
        <w:rPr>
          <w:rFonts w:ascii="Times New Roman" w:hAnsi="Times New Roman" w:cs="Times New Roman"/>
          <w:sz w:val="24"/>
          <w:szCs w:val="24"/>
        </w:rPr>
        <w:t>.</w:t>
      </w:r>
      <w:r w:rsidR="006A5ADC">
        <w:rPr>
          <w:rFonts w:ascii="Times New Roman" w:hAnsi="Times New Roman" w:cs="Times New Roman"/>
          <w:sz w:val="24"/>
          <w:szCs w:val="24"/>
        </w:rPr>
        <w:t xml:space="preserve"> Dieses Vorgehen scheint gängige </w:t>
      </w:r>
      <w:r w:rsidR="00756781">
        <w:rPr>
          <w:rFonts w:ascii="Times New Roman" w:hAnsi="Times New Roman" w:cs="Times New Roman"/>
          <w:sz w:val="24"/>
          <w:szCs w:val="24"/>
        </w:rPr>
        <w:t>PEI-</w:t>
      </w:r>
      <w:r w:rsidR="006A5ADC">
        <w:rPr>
          <w:rFonts w:ascii="Times New Roman" w:hAnsi="Times New Roman" w:cs="Times New Roman"/>
          <w:sz w:val="24"/>
          <w:szCs w:val="24"/>
        </w:rPr>
        <w:t>Praxis in der Bearbeitung von Nebenwirkungen oder Todesfällen zu sein, denn bei allen anderen</w:t>
      </w:r>
      <w:r w:rsidR="000E0086">
        <w:rPr>
          <w:rFonts w:ascii="Times New Roman" w:hAnsi="Times New Roman" w:cs="Times New Roman"/>
          <w:sz w:val="24"/>
          <w:szCs w:val="24"/>
        </w:rPr>
        <w:t>, aktuell untersuchten</w:t>
      </w:r>
      <w:r w:rsidR="006A5ADC">
        <w:rPr>
          <w:rFonts w:ascii="Times New Roman" w:hAnsi="Times New Roman" w:cs="Times New Roman"/>
          <w:sz w:val="24"/>
          <w:szCs w:val="24"/>
        </w:rPr>
        <w:t xml:space="preserve"> Impfstoff-Todesfällen verschwand die Kausalität sogar zu 100% (von 74 auf 0, s. Tab.1</w:t>
      </w:r>
      <w:r w:rsidR="000E0086">
        <w:rPr>
          <w:rFonts w:ascii="Times New Roman" w:hAnsi="Times New Roman" w:cs="Times New Roman"/>
          <w:sz w:val="24"/>
          <w:szCs w:val="24"/>
        </w:rPr>
        <w:t>, (6)</w:t>
      </w:r>
      <w:r w:rsidR="006A5ADC">
        <w:rPr>
          <w:rFonts w:ascii="Times New Roman" w:hAnsi="Times New Roman" w:cs="Times New Roman"/>
          <w:sz w:val="24"/>
          <w:szCs w:val="24"/>
        </w:rPr>
        <w:t xml:space="preserve">). </w:t>
      </w:r>
      <w:r w:rsidR="007B1173">
        <w:rPr>
          <w:rFonts w:ascii="Times New Roman" w:hAnsi="Times New Roman" w:cs="Times New Roman"/>
          <w:sz w:val="24"/>
          <w:szCs w:val="24"/>
        </w:rPr>
        <w:t>Damit werden</w:t>
      </w:r>
      <w:r w:rsidR="006A5ADC">
        <w:rPr>
          <w:rFonts w:ascii="Times New Roman" w:hAnsi="Times New Roman" w:cs="Times New Roman"/>
          <w:sz w:val="24"/>
          <w:szCs w:val="24"/>
        </w:rPr>
        <w:t xml:space="preserve"> </w:t>
      </w:r>
      <w:r w:rsidR="007B1173">
        <w:rPr>
          <w:rFonts w:ascii="Times New Roman" w:hAnsi="Times New Roman" w:cs="Times New Roman"/>
          <w:sz w:val="24"/>
          <w:szCs w:val="24"/>
        </w:rPr>
        <w:t xml:space="preserve">die Intentionen zur Nebenwirkungsmeldung und der Berichtsaufwand nicht nur nicht gewürdigt, sondern argumentativ in zahlreichen Fällen zunichte gemacht und die Forderungen nach aufmerksamer Beobachtung der Impfstoffverträglichkeit konterkariert. </w:t>
      </w:r>
    </w:p>
    <w:p w:rsidR="00E21D6A" w:rsidRDefault="00E21D6A" w:rsidP="001D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9B" w:rsidRDefault="00F464F5" w:rsidP="001D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der Beurteilung eines </w:t>
      </w:r>
      <w:r w:rsidR="003A2711">
        <w:rPr>
          <w:rFonts w:ascii="Times New Roman" w:hAnsi="Times New Roman" w:cs="Times New Roman"/>
          <w:sz w:val="24"/>
          <w:szCs w:val="24"/>
        </w:rPr>
        <w:t xml:space="preserve">möglichen </w:t>
      </w:r>
      <w:r>
        <w:rPr>
          <w:rFonts w:ascii="Times New Roman" w:hAnsi="Times New Roman" w:cs="Times New Roman"/>
          <w:sz w:val="24"/>
          <w:szCs w:val="24"/>
        </w:rPr>
        <w:t xml:space="preserve">Zusammenhanges zwischen SARS-CoV2-Infektion und </w:t>
      </w:r>
      <w:r w:rsidR="0064309B">
        <w:rPr>
          <w:rFonts w:ascii="Times New Roman" w:hAnsi="Times New Roman" w:cs="Times New Roman"/>
          <w:sz w:val="24"/>
          <w:szCs w:val="24"/>
        </w:rPr>
        <w:t>bedauerliche</w:t>
      </w:r>
      <w:r w:rsidR="000E0086">
        <w:rPr>
          <w:rFonts w:ascii="Times New Roman" w:hAnsi="Times New Roman" w:cs="Times New Roman"/>
          <w:sz w:val="24"/>
          <w:szCs w:val="24"/>
        </w:rPr>
        <w:t xml:space="preserve">rweise zu beobachtenden </w:t>
      </w:r>
      <w:r>
        <w:rPr>
          <w:rFonts w:ascii="Times New Roman" w:hAnsi="Times New Roman" w:cs="Times New Roman"/>
          <w:sz w:val="24"/>
          <w:szCs w:val="24"/>
        </w:rPr>
        <w:t>Tod</w:t>
      </w:r>
      <w:r w:rsidR="0064309B">
        <w:rPr>
          <w:rFonts w:ascii="Times New Roman" w:hAnsi="Times New Roman" w:cs="Times New Roman"/>
          <w:sz w:val="24"/>
          <w:szCs w:val="24"/>
        </w:rPr>
        <w:t>esfällen</w:t>
      </w:r>
      <w:r>
        <w:rPr>
          <w:rFonts w:ascii="Times New Roman" w:hAnsi="Times New Roman" w:cs="Times New Roman"/>
          <w:sz w:val="24"/>
          <w:szCs w:val="24"/>
        </w:rPr>
        <w:t xml:space="preserve"> ging man </w:t>
      </w:r>
      <w:r w:rsidR="000E0086">
        <w:rPr>
          <w:rFonts w:ascii="Times New Roman" w:hAnsi="Times New Roman" w:cs="Times New Roman"/>
          <w:sz w:val="24"/>
          <w:szCs w:val="24"/>
        </w:rPr>
        <w:t xml:space="preserve">hingegen </w:t>
      </w:r>
      <w:r>
        <w:rPr>
          <w:rFonts w:ascii="Times New Roman" w:hAnsi="Times New Roman" w:cs="Times New Roman"/>
          <w:sz w:val="24"/>
          <w:szCs w:val="24"/>
        </w:rPr>
        <w:t>wesentlich</w:t>
      </w:r>
      <w:r w:rsidR="0064309B">
        <w:rPr>
          <w:rFonts w:ascii="Times New Roman" w:hAnsi="Times New Roman" w:cs="Times New Roman"/>
          <w:sz w:val="24"/>
          <w:szCs w:val="24"/>
        </w:rPr>
        <w:t xml:space="preserve"> großzügiger vor und suchte </w:t>
      </w:r>
      <w:r w:rsidR="007252C2">
        <w:rPr>
          <w:rFonts w:ascii="Times New Roman" w:hAnsi="Times New Roman" w:cs="Times New Roman"/>
          <w:sz w:val="24"/>
          <w:szCs w:val="24"/>
        </w:rPr>
        <w:t xml:space="preserve">in der Regel </w:t>
      </w:r>
      <w:r w:rsidR="0064309B">
        <w:rPr>
          <w:rFonts w:ascii="Times New Roman" w:hAnsi="Times New Roman" w:cs="Times New Roman"/>
          <w:sz w:val="24"/>
          <w:szCs w:val="24"/>
        </w:rPr>
        <w:t xml:space="preserve">nicht nach Gründen für </w:t>
      </w:r>
      <w:r w:rsidR="003A2711">
        <w:rPr>
          <w:rFonts w:ascii="Times New Roman" w:hAnsi="Times New Roman" w:cs="Times New Roman"/>
          <w:sz w:val="24"/>
          <w:szCs w:val="24"/>
        </w:rPr>
        <w:t xml:space="preserve">eine </w:t>
      </w:r>
      <w:r w:rsidR="0064309B">
        <w:rPr>
          <w:rFonts w:ascii="Times New Roman" w:hAnsi="Times New Roman" w:cs="Times New Roman"/>
          <w:sz w:val="24"/>
          <w:szCs w:val="24"/>
        </w:rPr>
        <w:t>andere Todes</w:t>
      </w:r>
      <w:r w:rsidR="003A2711">
        <w:rPr>
          <w:rFonts w:ascii="Times New Roman" w:hAnsi="Times New Roman" w:cs="Times New Roman"/>
          <w:sz w:val="24"/>
          <w:szCs w:val="24"/>
        </w:rPr>
        <w:t>ver</w:t>
      </w:r>
      <w:r w:rsidR="0064309B">
        <w:rPr>
          <w:rFonts w:ascii="Times New Roman" w:hAnsi="Times New Roman" w:cs="Times New Roman"/>
          <w:sz w:val="24"/>
          <w:szCs w:val="24"/>
        </w:rPr>
        <w:t>ursach</w:t>
      </w:r>
      <w:r w:rsidR="003A2711">
        <w:rPr>
          <w:rFonts w:ascii="Times New Roman" w:hAnsi="Times New Roman" w:cs="Times New Roman"/>
          <w:sz w:val="24"/>
          <w:szCs w:val="24"/>
        </w:rPr>
        <w:t>ung</w:t>
      </w:r>
      <w:r w:rsidR="0064309B">
        <w:rPr>
          <w:rFonts w:ascii="Times New Roman" w:hAnsi="Times New Roman" w:cs="Times New Roman"/>
          <w:sz w:val="24"/>
          <w:szCs w:val="24"/>
        </w:rPr>
        <w:t xml:space="preserve">. </w:t>
      </w:r>
      <w:r w:rsidR="00E530AE">
        <w:rPr>
          <w:rFonts w:ascii="Times New Roman" w:hAnsi="Times New Roman" w:cs="Times New Roman"/>
          <w:sz w:val="24"/>
          <w:szCs w:val="24"/>
        </w:rPr>
        <w:t>Insofern sind die Gesamtzahlen der</w:t>
      </w:r>
      <w:r w:rsidR="007252C2">
        <w:rPr>
          <w:rFonts w:ascii="Times New Roman" w:hAnsi="Times New Roman" w:cs="Times New Roman"/>
          <w:sz w:val="24"/>
          <w:szCs w:val="24"/>
        </w:rPr>
        <w:t xml:space="preserve"> </w:t>
      </w:r>
      <w:r w:rsidR="0064309B">
        <w:rPr>
          <w:rFonts w:ascii="Times New Roman" w:hAnsi="Times New Roman" w:cs="Times New Roman"/>
          <w:sz w:val="24"/>
          <w:szCs w:val="24"/>
        </w:rPr>
        <w:t>gemeldeten Todesfälle in Zusammenhang mit der Impfung, d</w:t>
      </w:r>
      <w:r w:rsidR="007252C2">
        <w:rPr>
          <w:rFonts w:ascii="Times New Roman" w:hAnsi="Times New Roman" w:cs="Times New Roman"/>
          <w:sz w:val="24"/>
          <w:szCs w:val="24"/>
        </w:rPr>
        <w:t>e</w:t>
      </w:r>
      <w:r w:rsidR="00E530AE">
        <w:rPr>
          <w:rFonts w:ascii="Times New Roman" w:hAnsi="Times New Roman" w:cs="Times New Roman"/>
          <w:sz w:val="24"/>
          <w:szCs w:val="24"/>
        </w:rPr>
        <w:t>r</w:t>
      </w:r>
      <w:r w:rsidR="0064309B">
        <w:rPr>
          <w:rFonts w:ascii="Times New Roman" w:hAnsi="Times New Roman" w:cs="Times New Roman"/>
          <w:sz w:val="24"/>
          <w:szCs w:val="24"/>
        </w:rPr>
        <w:t xml:space="preserve"> tödlich aus</w:t>
      </w:r>
      <w:r w:rsidR="007252C2">
        <w:rPr>
          <w:rFonts w:ascii="Times New Roman" w:hAnsi="Times New Roman" w:cs="Times New Roman"/>
          <w:sz w:val="24"/>
          <w:szCs w:val="24"/>
        </w:rPr>
        <w:t>gegangenen Nebenwirkungen und de</w:t>
      </w:r>
      <w:r w:rsidR="00E530AE">
        <w:rPr>
          <w:rFonts w:ascii="Times New Roman" w:hAnsi="Times New Roman" w:cs="Times New Roman"/>
          <w:sz w:val="24"/>
          <w:szCs w:val="24"/>
        </w:rPr>
        <w:t>r</w:t>
      </w:r>
      <w:r w:rsidR="003A2711">
        <w:rPr>
          <w:rFonts w:ascii="Times New Roman" w:hAnsi="Times New Roman" w:cs="Times New Roman"/>
          <w:sz w:val="24"/>
          <w:szCs w:val="24"/>
        </w:rPr>
        <w:t xml:space="preserve"> offiziellen</w:t>
      </w:r>
      <w:r w:rsidR="0064309B">
        <w:rPr>
          <w:rFonts w:ascii="Times New Roman" w:hAnsi="Times New Roman" w:cs="Times New Roman"/>
          <w:sz w:val="24"/>
          <w:szCs w:val="24"/>
        </w:rPr>
        <w:t xml:space="preserve"> Corona-Todesfälle</w:t>
      </w:r>
      <w:r w:rsidR="00E530AE">
        <w:rPr>
          <w:rFonts w:ascii="Times New Roman" w:hAnsi="Times New Roman" w:cs="Times New Roman"/>
          <w:sz w:val="24"/>
          <w:szCs w:val="24"/>
        </w:rPr>
        <w:t>, wie auch ihre Relation untereinander</w:t>
      </w:r>
      <w:r w:rsidR="0064309B">
        <w:rPr>
          <w:rFonts w:ascii="Times New Roman" w:hAnsi="Times New Roman" w:cs="Times New Roman"/>
          <w:sz w:val="24"/>
          <w:szCs w:val="24"/>
        </w:rPr>
        <w:t xml:space="preserve"> mit größter Skepsis zu betrachten.</w:t>
      </w:r>
    </w:p>
    <w:p w:rsidR="00363C58" w:rsidRDefault="00363C58" w:rsidP="001D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43" w:rsidRDefault="009262A0" w:rsidP="00916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Bezugnahme auf die Verträglichkeit </w:t>
      </w:r>
      <w:r w:rsidR="006B68CB">
        <w:rPr>
          <w:rFonts w:ascii="Times New Roman" w:hAnsi="Times New Roman" w:cs="Times New Roman"/>
          <w:sz w:val="24"/>
          <w:szCs w:val="24"/>
        </w:rPr>
        <w:t>konventionelle</w:t>
      </w:r>
      <w:r>
        <w:rPr>
          <w:rFonts w:ascii="Times New Roman" w:hAnsi="Times New Roman" w:cs="Times New Roman"/>
          <w:sz w:val="24"/>
          <w:szCs w:val="24"/>
        </w:rPr>
        <w:t>r</w:t>
      </w:r>
      <w:r w:rsidR="006B68CB">
        <w:rPr>
          <w:rFonts w:ascii="Times New Roman" w:hAnsi="Times New Roman" w:cs="Times New Roman"/>
          <w:sz w:val="24"/>
          <w:szCs w:val="24"/>
        </w:rPr>
        <w:t xml:space="preserve"> Impfstoffe war bis</w:t>
      </w:r>
      <w:r>
        <w:rPr>
          <w:rFonts w:ascii="Times New Roman" w:hAnsi="Times New Roman" w:cs="Times New Roman"/>
          <w:sz w:val="24"/>
          <w:szCs w:val="24"/>
        </w:rPr>
        <w:t xml:space="preserve"> vor kurzem </w:t>
      </w:r>
      <w:r w:rsidR="006B68CB">
        <w:rPr>
          <w:rFonts w:ascii="Times New Roman" w:hAnsi="Times New Roman" w:cs="Times New Roman"/>
          <w:sz w:val="24"/>
          <w:szCs w:val="24"/>
        </w:rPr>
        <w:t xml:space="preserve"> mangels relevanter Daten nicht möglich</w:t>
      </w:r>
      <w:r>
        <w:rPr>
          <w:rFonts w:ascii="Times New Roman" w:hAnsi="Times New Roman" w:cs="Times New Roman"/>
          <w:sz w:val="24"/>
          <w:szCs w:val="24"/>
        </w:rPr>
        <w:t>. Doch seit September 2024 liegen diese vor (</w:t>
      </w:r>
      <w:r w:rsidR="007252C2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und erlauben nun einen </w:t>
      </w:r>
      <w:r w:rsidR="00916943">
        <w:rPr>
          <w:rFonts w:ascii="Times New Roman" w:hAnsi="Times New Roman" w:cs="Times New Roman"/>
          <w:sz w:val="24"/>
          <w:szCs w:val="24"/>
        </w:rPr>
        <w:t xml:space="preserve">ersten </w:t>
      </w:r>
      <w:r>
        <w:rPr>
          <w:rFonts w:ascii="Times New Roman" w:hAnsi="Times New Roman" w:cs="Times New Roman"/>
          <w:sz w:val="24"/>
          <w:szCs w:val="24"/>
        </w:rPr>
        <w:t>Vergleich mit den Covid-19 Wirk-/Impfstoffen (</w:t>
      </w:r>
      <w:r w:rsidR="00C24F66">
        <w:rPr>
          <w:rFonts w:ascii="Times New Roman" w:hAnsi="Times New Roman" w:cs="Times New Roman"/>
          <w:sz w:val="24"/>
          <w:szCs w:val="24"/>
        </w:rPr>
        <w:t xml:space="preserve">s. Tab. 1). </w:t>
      </w:r>
      <w:r w:rsidR="00C24F66" w:rsidRPr="00B451B0">
        <w:rPr>
          <w:rFonts w:ascii="Times New Roman" w:hAnsi="Times New Roman" w:cs="Times New Roman"/>
          <w:sz w:val="24"/>
          <w:szCs w:val="24"/>
        </w:rPr>
        <w:t xml:space="preserve">Bezogen </w:t>
      </w:r>
      <w:r w:rsidR="00C24F66" w:rsidRPr="00B451B0">
        <w:rPr>
          <w:rFonts w:ascii="Times New Roman" w:hAnsi="Times New Roman" w:cs="Times New Roman"/>
          <w:sz w:val="24"/>
          <w:szCs w:val="24"/>
        </w:rPr>
        <w:lastRenderedPageBreak/>
        <w:t xml:space="preserve">auf die verabreichten Impfdosen wurden 22,5 mal häufiger Nebenwirkungen nach Covid-19 Impfungen (0,18%) berichtet als nach allen konventionellen Impfungen </w:t>
      </w:r>
      <w:r w:rsidR="00C24F66">
        <w:rPr>
          <w:rFonts w:ascii="Times New Roman" w:hAnsi="Times New Roman" w:cs="Times New Roman"/>
          <w:sz w:val="24"/>
          <w:szCs w:val="24"/>
        </w:rPr>
        <w:t xml:space="preserve">zusammengenommen </w:t>
      </w:r>
      <w:r w:rsidR="00C24F66" w:rsidRPr="00B451B0">
        <w:rPr>
          <w:rFonts w:ascii="Times New Roman" w:hAnsi="Times New Roman" w:cs="Times New Roman"/>
          <w:sz w:val="24"/>
          <w:szCs w:val="24"/>
        </w:rPr>
        <w:t xml:space="preserve">(0,008%); </w:t>
      </w:r>
      <w:r w:rsidR="001D16AA">
        <w:rPr>
          <w:rFonts w:ascii="Times New Roman" w:hAnsi="Times New Roman" w:cs="Times New Roman"/>
          <w:sz w:val="24"/>
          <w:szCs w:val="24"/>
        </w:rPr>
        <w:t>umgerechnet auf die Meldehäufigkeit/Tag b</w:t>
      </w:r>
      <w:r w:rsidR="00C24F66">
        <w:rPr>
          <w:rFonts w:ascii="Times New Roman" w:hAnsi="Times New Roman" w:cs="Times New Roman"/>
          <w:sz w:val="24"/>
          <w:szCs w:val="24"/>
        </w:rPr>
        <w:t xml:space="preserve">etrug der Faktor </w:t>
      </w:r>
      <w:r w:rsidR="00C24F66" w:rsidRPr="00B451B0">
        <w:rPr>
          <w:rFonts w:ascii="Times New Roman" w:hAnsi="Times New Roman" w:cs="Times New Roman"/>
          <w:sz w:val="24"/>
          <w:szCs w:val="24"/>
        </w:rPr>
        <w:t>das ca. 35-fache.</w:t>
      </w:r>
      <w:r w:rsidR="00C24F66">
        <w:rPr>
          <w:rFonts w:ascii="Times New Roman" w:hAnsi="Times New Roman" w:cs="Times New Roman"/>
          <w:sz w:val="24"/>
          <w:szCs w:val="24"/>
        </w:rPr>
        <w:t xml:space="preserve">  Nebenwirkungen mit tödlichem Ausgang </w:t>
      </w:r>
      <w:r w:rsidR="00C24F66" w:rsidRPr="00B451B0">
        <w:rPr>
          <w:rFonts w:ascii="Times New Roman" w:hAnsi="Times New Roman" w:cs="Times New Roman"/>
          <w:sz w:val="24"/>
          <w:szCs w:val="24"/>
        </w:rPr>
        <w:t xml:space="preserve"> </w:t>
      </w:r>
      <w:r w:rsidR="00C24F66">
        <w:rPr>
          <w:rFonts w:ascii="Times New Roman" w:hAnsi="Times New Roman" w:cs="Times New Roman"/>
          <w:sz w:val="24"/>
          <w:szCs w:val="24"/>
        </w:rPr>
        <w:t xml:space="preserve">nach Covid-19 Impfungen erreichten sogar das ca. 40fache gegenüber den Nicht-Covid-19 Impfstoffen </w:t>
      </w:r>
      <w:r w:rsidR="00C24F66" w:rsidRPr="00B451B0">
        <w:rPr>
          <w:rFonts w:ascii="Times New Roman" w:hAnsi="Times New Roman" w:cs="Times New Roman"/>
          <w:sz w:val="24"/>
          <w:szCs w:val="24"/>
        </w:rPr>
        <w:t>(s. Tab. 1).</w:t>
      </w:r>
      <w:r w:rsidR="00C24F66">
        <w:rPr>
          <w:rFonts w:ascii="Times New Roman" w:hAnsi="Times New Roman" w:cs="Times New Roman"/>
          <w:sz w:val="24"/>
          <w:szCs w:val="24"/>
        </w:rPr>
        <w:t xml:space="preserve"> </w:t>
      </w:r>
      <w:r w:rsidR="000D5F0D">
        <w:rPr>
          <w:rFonts w:ascii="Times New Roman" w:hAnsi="Times New Roman" w:cs="Times New Roman"/>
          <w:sz w:val="24"/>
          <w:szCs w:val="24"/>
        </w:rPr>
        <w:t>Die vermutete</w:t>
      </w:r>
      <w:r w:rsidR="00756781">
        <w:rPr>
          <w:rFonts w:ascii="Times New Roman" w:hAnsi="Times New Roman" w:cs="Times New Roman"/>
          <w:sz w:val="24"/>
          <w:szCs w:val="24"/>
        </w:rPr>
        <w:t>,</w:t>
      </w:r>
      <w:r w:rsidR="000D5F0D">
        <w:rPr>
          <w:rFonts w:ascii="Times New Roman" w:hAnsi="Times New Roman" w:cs="Times New Roman"/>
          <w:sz w:val="24"/>
          <w:szCs w:val="24"/>
        </w:rPr>
        <w:t xml:space="preserve"> wesentlich schlechtere Verträglichkeit der in Deutschland verfügbaren Covid-19 Wirk-/Impfstoffe wurde bestätigt.</w:t>
      </w:r>
    </w:p>
    <w:p w:rsidR="00C95F44" w:rsidRDefault="00C95F44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F30DF9" w:rsidRPr="00B451B0" w:rsidRDefault="00F30DF9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Tab. 1: Vergleich von Impfstoff-Nebenwirkung</w:t>
      </w:r>
      <w:r w:rsidR="0064309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sverdachtsfäll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 in Deutschland</w:t>
      </w:r>
    </w:p>
    <w:p w:rsidR="00F30DF9" w:rsidRPr="00B451B0" w:rsidRDefault="00F30DF9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tbl>
      <w:tblPr>
        <w:tblW w:w="90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297"/>
        <w:gridCol w:w="2185"/>
        <w:gridCol w:w="1800"/>
      </w:tblGrid>
      <w:tr w:rsidR="00A53F52" w:rsidRPr="00B451B0" w:rsidTr="00A53F52"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Gesamt-Zahl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 Betroffenen mit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Nebenwirkungen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Berichte von</w:t>
            </w:r>
          </w:p>
          <w:p w:rsidR="00A53F52" w:rsidRPr="00B451B0" w:rsidRDefault="00A53F52" w:rsidP="00B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Nebenwirkungen mit tödlichem Ausgang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3F52" w:rsidRPr="00B451B0" w:rsidRDefault="00A53F52" w:rsidP="00B4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Anzahl der Impfdosen</w:t>
            </w:r>
          </w:p>
        </w:tc>
      </w:tr>
      <w:tr w:rsidR="00A53F52" w:rsidRPr="00B451B0" w:rsidTr="00A53F52"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alle von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Nicht-Covid-19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Impf-Nebenwirkungen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Betroffene zwischen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1.1.2022-31.12.2023 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A53F52" w:rsidRPr="00B451B0" w:rsidRDefault="00762A5C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(4</w:t>
            </w:r>
            <w:r w:rsidR="00A53F52"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8 659 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(0,008% der Geimpften)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insgesamt 26 845 Nebenwirkungen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11,9 Betroffene/Tag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74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(0 kausal)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0,1/Tag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&gt;105 000 000</w:t>
            </w:r>
          </w:p>
        </w:tc>
      </w:tr>
      <w:tr w:rsidR="00A53F52" w:rsidRPr="00B451B0" w:rsidTr="00A53F52"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alle von Nebenwirkungen der </w:t>
            </w: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Covid-19 Wirk-/Impfstoffe 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Betroffene</w:t>
            </w:r>
          </w:p>
          <w:p w:rsidR="00A53F52" w:rsidRPr="00B451B0" w:rsidRDefault="00A53F52" w:rsidP="00762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bis 31.3.2023 (</w:t>
            </w:r>
            <w:r w:rsidR="00762A5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340 282 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(0,18% der Geimpften) 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 insgesamt 942 298 Nebenwirkungen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415 Betroffene/Tag 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(ca. das 35 fache 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gegenüber den Nicht-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Covid-19 Impfstoffen</w:t>
            </w: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)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r w:rsidRPr="00B45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3 315</w:t>
            </w: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(127 kausal)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4,04/Tag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(ca. das 40 fache</w:t>
            </w:r>
          </w:p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gegenüber den Nicht-Covid-19 Impfstoffen</w:t>
            </w:r>
            <w:r w:rsidRPr="00B45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3F52" w:rsidRPr="00B451B0" w:rsidRDefault="00A53F52" w:rsidP="00B4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451B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192 208 062</w:t>
            </w:r>
          </w:p>
        </w:tc>
      </w:tr>
    </w:tbl>
    <w:p w:rsidR="005A514A" w:rsidRDefault="005A514A" w:rsidP="005A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14A" w:rsidRDefault="005A514A" w:rsidP="005A5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451B0">
        <w:rPr>
          <w:rFonts w:ascii="Times New Roman" w:hAnsi="Times New Roman" w:cs="Times New Roman"/>
          <w:sz w:val="24"/>
          <w:szCs w:val="24"/>
        </w:rPr>
        <w:t xml:space="preserve">Während für </w:t>
      </w:r>
      <w:r>
        <w:rPr>
          <w:rFonts w:ascii="Times New Roman" w:hAnsi="Times New Roman" w:cs="Times New Roman"/>
          <w:sz w:val="24"/>
          <w:szCs w:val="24"/>
        </w:rPr>
        <w:t xml:space="preserve">alle Nicht-Covid-Impfstoffe ca. </w:t>
      </w:r>
      <w:r w:rsidRPr="00B451B0">
        <w:rPr>
          <w:rFonts w:ascii="Times New Roman" w:hAnsi="Times New Roman" w:cs="Times New Roman"/>
          <w:sz w:val="24"/>
          <w:szCs w:val="24"/>
        </w:rPr>
        <w:t xml:space="preserve">34% der berichteten Nebenwirkungen tabellarisch, </w:t>
      </w:r>
      <w:r>
        <w:rPr>
          <w:rFonts w:ascii="Times New Roman" w:hAnsi="Times New Roman" w:cs="Times New Roman"/>
          <w:sz w:val="24"/>
          <w:szCs w:val="24"/>
        </w:rPr>
        <w:t xml:space="preserve">allerdings </w:t>
      </w:r>
      <w:r w:rsidRPr="00B451B0">
        <w:rPr>
          <w:rFonts w:ascii="Times New Roman" w:hAnsi="Times New Roman" w:cs="Times New Roman"/>
          <w:sz w:val="24"/>
          <w:szCs w:val="24"/>
        </w:rPr>
        <w:t>irritierend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1B0">
        <w:rPr>
          <w:rFonts w:ascii="Times New Roman" w:hAnsi="Times New Roman" w:cs="Times New Roman"/>
          <w:sz w:val="24"/>
          <w:szCs w:val="24"/>
        </w:rPr>
        <w:t xml:space="preserve"> ohne Bezugnahme auf den spezifischen Impfstoff,  dargestellt wurden, fehlt eine solche im abschließenden PEI Sachstand zum Sicherheitsp</w:t>
      </w:r>
      <w:r>
        <w:rPr>
          <w:rFonts w:ascii="Times New Roman" w:hAnsi="Times New Roman" w:cs="Times New Roman"/>
          <w:sz w:val="24"/>
          <w:szCs w:val="24"/>
        </w:rPr>
        <w:t>rofil der Covid-19 Impfstoffe (4</w:t>
      </w:r>
      <w:r w:rsidRPr="00B451B0">
        <w:rPr>
          <w:rFonts w:ascii="Times New Roman" w:hAnsi="Times New Roman" w:cs="Times New Roman"/>
          <w:sz w:val="24"/>
          <w:szCs w:val="24"/>
        </w:rPr>
        <w:t xml:space="preserve">).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  Aus dem pathognomonisch charakteristischen Spektrum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unterzog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man lediglich 1,6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% (!) aller berichteten Fälle eine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vertieften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Diskussion (Myo-/Perikarditis, anaphylaktische Reaktionen, TTS/VITTS,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GBS, LongCovid/PostVac-Syndrom). Für die Mehrzahl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berichteten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Nebenwirkungen (98%)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dieser neuartigen unausgereiften Wirk-/Impfstoffe wurde offenkundig eine </w:t>
      </w:r>
      <w:r w:rsidR="0091234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systematische und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detaillierte Analyse vermieden, wohl um den Schein des sicheren Impfstoffes zu wahren.</w:t>
      </w:r>
    </w:p>
    <w:p w:rsidR="005A514A" w:rsidRDefault="005A514A" w:rsidP="005A5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632618" w:rsidRDefault="00DC4DC9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 w:rsidR="0063261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inen </w:t>
      </w:r>
      <w:r w:rsidR="00762A5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umfassend</w:t>
      </w:r>
      <w:r w:rsidR="00B3523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eren</w:t>
      </w:r>
      <w:r w:rsidR="00762A5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bei weitem nicht vollständigen </w:t>
      </w:r>
      <w:r w:rsidR="0063261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Eindruck von den Unverträglichkeiten der spike-basierten Wirk-/Impfstoffe </w:t>
      </w:r>
      <w:r w:rsidR="00B3523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ihrer</w:t>
      </w:r>
      <w:r w:rsidR="00B3523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höchstwahrscheinliche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B3523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Verursachung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vermitteln  andere </w:t>
      </w:r>
      <w:r w:rsidR="0063261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Quellen </w:t>
      </w:r>
      <w:r w:rsidR="00762A5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(5, 7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-11</w:t>
      </w:r>
      <w:r w:rsidR="00B3523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).</w:t>
      </w:r>
    </w:p>
    <w:p w:rsidR="00B35232" w:rsidRDefault="00762A5C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Das</w:t>
      </w:r>
      <w:r w:rsidR="00632618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Spektrum der Nebenwirkungen in Zusamm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enhang mit Covid-19 Impfungen (8</w:t>
      </w:r>
      <w:r w:rsidR="00632618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) </w:t>
      </w:r>
      <w:r w:rsidR="00921C9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dominieren</w:t>
      </w:r>
      <w:r w:rsidR="00921C9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632618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Symptome, die das Nerven-und muskulo-skelettale System </w:t>
      </w:r>
      <w:r w:rsidR="00921C9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(</w:t>
      </w:r>
      <w:r w:rsidR="0014712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zw. 18 bis ca. 35</w:t>
      </w:r>
      <w:r w:rsidR="00921C9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% aller Nebenwirkungen) </w:t>
      </w:r>
      <w:r w:rsidR="00632618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betreffen</w:t>
      </w:r>
      <w:r w:rsidR="0014712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gefolgt von Magen-Darm-Sympt</w:t>
      </w:r>
      <w:r w:rsidR="00921C9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omen</w:t>
      </w:r>
      <w:r w:rsidR="0014712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(ca. 7,5-9,3%)</w:t>
      </w:r>
      <w:r w:rsidR="00921C9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14712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>Berichtet wurden z. Bsp. Fälle von Gesichtslähmung, Geruchs-/Geschmacksverlust,</w:t>
      </w:r>
      <w:r w:rsidR="00632618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blitzartig einsetzende Kopfschmerzen, G</w:t>
      </w:r>
      <w:r w:rsidR="005D183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uillian-Barre-Syndrom, </w:t>
      </w:r>
      <w:r w:rsidR="00632618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Beeinträchtigung zentral-nervöser Funktionen, Mißempfindungen/Paraesthesien, Muskelkrämpfe, -schwäche, P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arese, Myoklonus, Rhabdomyolyse und</w:t>
      </w:r>
      <w:r w:rsidR="00632618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Myokymie</w:t>
      </w:r>
      <w:r w:rsidR="005D183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die 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als Impffolgen</w:t>
      </w:r>
      <w:r w:rsidR="00147126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bisher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meist</w:t>
      </w:r>
      <w:r w:rsidR="00147126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unbekannt </w:t>
      </w:r>
      <w:r w:rsidR="005D183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waren. </w:t>
      </w:r>
    </w:p>
    <w:p w:rsidR="00B9627E" w:rsidRDefault="000D5F0D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Auffallend war von Anfang an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die Häufung kardiovaskulärer Nebenwirkungen verbunden mit vergl</w:t>
      </w:r>
      <w:r w:rsidR="005D183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eichsweise hoher Mortalität  (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5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8</w:t>
      </w:r>
      <w:r w:rsidR="005D183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9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), die mit Ausnahme von Myo</w:t>
      </w:r>
      <w:r w:rsidR="00834EB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-/Peri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karditiden und Thrombo-Embolien bisher keinerlei Beachtung seitens der damit befaßten Verantwortlichen erfuhren. Plötzliche Herztodesfälle, Tachykardien/Rhythmusstörungen oder Herzinfarkte wurden mehr oder weniger dem höheren Lebensalter der Impflinge mit entsprechenden Komorbiditäten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angelastet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Blutdruckanstiege bzw.</w:t>
      </w:r>
      <w:r w:rsidR="005A514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-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krisen ignoriert oder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durch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eine stressbedingte Impfsituation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erklärt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DC4DC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Über das Fehlen solcher spezifische</w:t>
      </w:r>
      <w:r w:rsidR="006712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Reaktionen in Zusammenhang mit </w:t>
      </w:r>
      <w:r w:rsidR="0091694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konventionellen </w:t>
      </w:r>
      <w:r w:rsidR="006712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Impfungen </w:t>
      </w:r>
      <w:r w:rsidR="005D183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(6) </w:t>
      </w:r>
      <w:r w:rsidR="006712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machte man sich keine</w:t>
      </w:r>
      <w:r w:rsidR="00363C5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rlei</w:t>
      </w:r>
      <w:r w:rsidR="006712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Gedanken.</w:t>
      </w:r>
    </w:p>
    <w:p w:rsidR="0032278A" w:rsidRDefault="00B451B0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Doch b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ereits die Befassung mit </w:t>
      </w:r>
      <w:r w:rsidR="000D5F0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Covid-19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lieferte entscheidende Hinweise darauf,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daß die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pathogenen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9E5F2F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SARS-CoV-2</w:t>
      </w:r>
      <w:r w:rsidR="0039419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Viren nicht nur Atemwegsinfektionen aus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lösen, sondern in der Lage sind, die Erkrankungssituation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durch Beeinträchtigung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extrapulmonaler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Organsysteme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zu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verschärfen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Ursache dafür ist </w:t>
      </w:r>
      <w:r w:rsidR="0091694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 w:rsidR="006712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eingangs</w:t>
      </w:r>
      <w:r w:rsidR="0091694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erwähnte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Interaktion der Virus-Spikes</w:t>
      </w:r>
      <w:r w:rsidR="00AD473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mit ihr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em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Rezeptor-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Enzym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ACE2</w:t>
      </w:r>
      <w:r w:rsidR="00FE13D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einem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FE13D2">
        <w:rPr>
          <w:rFonts w:ascii="Times New Roman" w:hAnsi="Times New Roman" w:cs="Times New Roman"/>
          <w:sz w:val="24"/>
          <w:szCs w:val="24"/>
        </w:rPr>
        <w:t>schützenden</w:t>
      </w:r>
      <w:r w:rsidR="00FE13D2" w:rsidRPr="00B451B0">
        <w:rPr>
          <w:rFonts w:ascii="Times New Roman" w:hAnsi="Times New Roman" w:cs="Times New Roman"/>
          <w:sz w:val="24"/>
          <w:szCs w:val="24"/>
        </w:rPr>
        <w:t xml:space="preserve"> Gegenregulator im Renin-Angiotensin-Aldosteron-System</w:t>
      </w:r>
      <w:r w:rsidR="00FE13D2">
        <w:rPr>
          <w:rFonts w:ascii="Times New Roman" w:hAnsi="Times New Roman" w:cs="Times New Roman"/>
          <w:sz w:val="24"/>
          <w:szCs w:val="24"/>
        </w:rPr>
        <w:t xml:space="preserve"> (RAAS)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</w:t>
      </w:r>
      <w:r w:rsidR="0039419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menschlichen </w:t>
      </w:r>
      <w:r w:rsidR="0039419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Organismus</w:t>
      </w:r>
      <w:r w:rsidR="002053A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9E5F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Es </w:t>
      </w:r>
      <w:r w:rsidR="005D183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kann nicht genügend </w:t>
      </w:r>
      <w:r w:rsidR="00E530A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oft </w:t>
      </w:r>
      <w:r w:rsidR="005D1833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wiederholt </w:t>
      </w:r>
      <w:r w:rsidR="009E5F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werden: nicht-neutralisierte Impfstoff-Spikes 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können </w:t>
      </w:r>
      <w:r w:rsidR="009E5F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zum gleichen Resultat</w:t>
      </w:r>
      <w:r w:rsidR="006E2B51" w:rsidRP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führen</w:t>
      </w:r>
      <w:r w:rsidR="009E5F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nämlich zur Funktion</w:t>
      </w:r>
      <w:r w:rsidR="008623D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sbeeinträchtigung dieses Enzyms!</w:t>
      </w:r>
      <w:r w:rsidR="009E5F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060DA9" w:rsidRDefault="00F31B1E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Zum Verständnis der Bedeutung dieses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Enzym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ACE2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muß man wissen, daß es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im Organismus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weit verbreitet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ist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und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durch Abbau des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</w:t>
      </w:r>
      <w:r w:rsidR="00FE13D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chädlichen, in erster Linie gefäßverengenden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blutdrucksteigernden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Überträgerstoffes Angiotensin II eine physiologisch kardioprotektive Funktion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besitzt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Seine Funktionseinbuße oder </w:t>
      </w:r>
      <w:r w:rsidR="006712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–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beeinträchtigung</w:t>
      </w:r>
      <w:r w:rsidR="006712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durch nicht-neutralisierte </w:t>
      </w:r>
      <w:r w:rsidR="00363C5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(Impf)</w:t>
      </w:r>
      <w:r w:rsidR="0067123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Spikes</w:t>
      </w:r>
      <w:r w:rsidR="009E5F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schränkt den Abbau von Angiotensin II ein und</w:t>
      </w:r>
      <w:r w:rsidR="00FE13D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kann dadurch</w:t>
      </w:r>
      <w:r w:rsidR="009E5F2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eine Vielzahl von Folgereaktionen und Organdysfunktionen aus</w:t>
      </w:r>
      <w:r w:rsidR="00FE13D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lösen, die den Covid-19 Komplikationen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sehr </w:t>
      </w:r>
      <w:r w:rsidR="00FE13D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ähneln</w:t>
      </w:r>
      <w:r w:rsidR="00F5096E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FE13D2">
        <w:rPr>
          <w:rFonts w:ascii="Times New Roman" w:hAnsi="Times New Roman" w:cs="Times New Roman"/>
          <w:sz w:val="24"/>
          <w:szCs w:val="24"/>
        </w:rPr>
        <w:t>D</w:t>
      </w:r>
      <w:r w:rsidR="00EE0F40">
        <w:rPr>
          <w:rFonts w:ascii="Times New Roman" w:hAnsi="Times New Roman" w:cs="Times New Roman"/>
          <w:sz w:val="24"/>
          <w:szCs w:val="24"/>
        </w:rPr>
        <w:t>abei reicht d</w:t>
      </w:r>
      <w:r w:rsidR="00FE13D2">
        <w:rPr>
          <w:rFonts w:ascii="Times New Roman" w:hAnsi="Times New Roman" w:cs="Times New Roman"/>
          <w:sz w:val="24"/>
          <w:szCs w:val="24"/>
        </w:rPr>
        <w:t xml:space="preserve">as Wirkspektrum des Überträgerstoffes Angiotensin II weit über die Gefäßverengung hinaus und umfaßt </w:t>
      </w:r>
      <w:r w:rsidR="002F53ED">
        <w:rPr>
          <w:rFonts w:ascii="Times New Roman" w:hAnsi="Times New Roman" w:cs="Times New Roman"/>
          <w:sz w:val="24"/>
          <w:szCs w:val="24"/>
        </w:rPr>
        <w:t>gleichermaßen</w:t>
      </w:r>
      <w:r w:rsidR="00EE0F40">
        <w:rPr>
          <w:rFonts w:ascii="Times New Roman" w:hAnsi="Times New Roman" w:cs="Times New Roman"/>
          <w:sz w:val="24"/>
          <w:szCs w:val="24"/>
        </w:rPr>
        <w:t xml:space="preserve"> entzündungsfördernde, gerinnungs</w:t>
      </w:r>
      <w:r w:rsidR="00363C58">
        <w:rPr>
          <w:rFonts w:ascii="Times New Roman" w:hAnsi="Times New Roman" w:cs="Times New Roman"/>
          <w:sz w:val="24"/>
          <w:szCs w:val="24"/>
        </w:rPr>
        <w:t>-</w:t>
      </w:r>
      <w:r w:rsidR="00EE0F40">
        <w:rPr>
          <w:rFonts w:ascii="Times New Roman" w:hAnsi="Times New Roman" w:cs="Times New Roman"/>
          <w:sz w:val="24"/>
          <w:szCs w:val="24"/>
        </w:rPr>
        <w:t xml:space="preserve">fördernde, fibrotische, proliferative und immunologische </w:t>
      </w:r>
      <w:r w:rsidR="00B451B0" w:rsidRPr="00B451B0">
        <w:rPr>
          <w:rFonts w:ascii="Times New Roman" w:hAnsi="Times New Roman" w:cs="Times New Roman"/>
          <w:sz w:val="24"/>
          <w:szCs w:val="24"/>
        </w:rPr>
        <w:t>Wirkungen</w:t>
      </w:r>
      <w:r w:rsidR="009D3B16">
        <w:rPr>
          <w:rFonts w:ascii="Times New Roman" w:hAnsi="Times New Roman" w:cs="Times New Roman"/>
          <w:sz w:val="24"/>
          <w:szCs w:val="24"/>
        </w:rPr>
        <w:t xml:space="preserve"> (7)</w:t>
      </w:r>
      <w:r w:rsidR="00EE0F40">
        <w:rPr>
          <w:rFonts w:ascii="Times New Roman" w:hAnsi="Times New Roman" w:cs="Times New Roman"/>
          <w:sz w:val="24"/>
          <w:szCs w:val="24"/>
        </w:rPr>
        <w:t>.</w:t>
      </w:r>
      <w:r w:rsidR="00B451B0" w:rsidRPr="00B451B0">
        <w:rPr>
          <w:rFonts w:ascii="Times New Roman" w:hAnsi="Times New Roman" w:cs="Times New Roman"/>
          <w:sz w:val="24"/>
          <w:szCs w:val="24"/>
        </w:rPr>
        <w:t xml:space="preserve"> Eine </w:t>
      </w:r>
      <w:r w:rsidR="00EE0F40">
        <w:rPr>
          <w:rFonts w:ascii="Times New Roman" w:hAnsi="Times New Roman" w:cs="Times New Roman"/>
          <w:sz w:val="24"/>
          <w:szCs w:val="24"/>
        </w:rPr>
        <w:t xml:space="preserve">erhöhte Angiotensin II-Konzentration bei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451B0" w:rsidRPr="00B451B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ge</w:t>
      </w:r>
      <w:r w:rsidR="00B451B0" w:rsidRPr="00B451B0">
        <w:rPr>
          <w:rFonts w:ascii="Times New Roman" w:hAnsi="Times New Roman" w:cs="Times New Roman"/>
          <w:sz w:val="24"/>
          <w:szCs w:val="24"/>
        </w:rPr>
        <w:t>schränk</w:t>
      </w:r>
      <w:r>
        <w:rPr>
          <w:rFonts w:ascii="Times New Roman" w:hAnsi="Times New Roman" w:cs="Times New Roman"/>
          <w:sz w:val="24"/>
          <w:szCs w:val="24"/>
        </w:rPr>
        <w:t xml:space="preserve">ter </w:t>
      </w:r>
      <w:r w:rsidR="00B451B0" w:rsidRPr="00B451B0">
        <w:rPr>
          <w:rFonts w:ascii="Times New Roman" w:hAnsi="Times New Roman" w:cs="Times New Roman"/>
          <w:sz w:val="24"/>
          <w:szCs w:val="24"/>
        </w:rPr>
        <w:t>ACE2-</w:t>
      </w:r>
      <w:r>
        <w:rPr>
          <w:rFonts w:ascii="Times New Roman" w:hAnsi="Times New Roman" w:cs="Times New Roman"/>
          <w:sz w:val="24"/>
          <w:szCs w:val="24"/>
        </w:rPr>
        <w:t>Schutz-</w:t>
      </w:r>
      <w:r w:rsidR="00B451B0" w:rsidRPr="00B451B0">
        <w:rPr>
          <w:rFonts w:ascii="Times New Roman" w:hAnsi="Times New Roman" w:cs="Times New Roman"/>
          <w:sz w:val="24"/>
          <w:szCs w:val="24"/>
        </w:rPr>
        <w:t xml:space="preserve">Funktion kann zur </w:t>
      </w:r>
      <w:r w:rsidR="003C2230">
        <w:rPr>
          <w:rFonts w:ascii="Times New Roman" w:hAnsi="Times New Roman" w:cs="Times New Roman"/>
          <w:sz w:val="24"/>
          <w:szCs w:val="24"/>
        </w:rPr>
        <w:t xml:space="preserve">plötzlichen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Blutdrucksteigerung bzw. zu Blutdruck-Krisen</w:t>
      </w:r>
      <w:r w:rsidR="0039419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blitzartig einsetze</w:t>
      </w:r>
      <w:r w:rsidR="00EE0F4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nden Kopfschmerzen, Schwindel,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Gleichgewichtsstörungen oder zentralnervösen Beeinträchtigungen durch Blutgefäßverengung führen, zu Herzrhythmusstörungen, plötzlichem Herztod, Herzstillstand, Schlaganfall, </w:t>
      </w:r>
      <w:r w:rsidR="001B63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zu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Herzinfarkt oder Angina pectoris durch Gewebeminderdurchblutung, zu Störungen der peripheren Nerventätigkeit durch mikrovaskuläre Durchblutungsstörungen und zu zahllosen thrombo-embolischen Ereignissen in Verbindung mit direkter spike-induzierter Verstärkung der Blutplättchenaggregation.  Weitere</w:t>
      </w:r>
      <w:r w:rsidR="00B451B0" w:rsidRPr="00B451B0">
        <w:rPr>
          <w:rFonts w:ascii="Times New Roman" w:hAnsi="Times New Roman" w:cs="Times New Roman"/>
          <w:sz w:val="24"/>
          <w:szCs w:val="24"/>
        </w:rPr>
        <w:t xml:space="preserve"> Spike-Effekte (Zellfusion, Bindung an Heparansulfat, Aktivierung des Toll-like-Rezeptors 4), Synergismen (Anstieg von des-Arg9-Bradykinin, Katecholaminen) und eine Beeinträchtigung der Aminosäureaufnahme</w:t>
      </w:r>
      <w:r>
        <w:rPr>
          <w:rFonts w:ascii="Times New Roman" w:hAnsi="Times New Roman" w:cs="Times New Roman"/>
          <w:sz w:val="24"/>
          <w:szCs w:val="24"/>
        </w:rPr>
        <w:t xml:space="preserve"> im Darm mit Konsequenzen für die Hirntätigkeit </w:t>
      </w:r>
      <w:r w:rsidR="00B451B0" w:rsidRPr="00B451B0">
        <w:rPr>
          <w:rFonts w:ascii="Times New Roman" w:hAnsi="Times New Roman" w:cs="Times New Roman"/>
          <w:sz w:val="24"/>
          <w:szCs w:val="24"/>
        </w:rPr>
        <w:t xml:space="preserve"> ergänzen und vervielfachen die an sich schon nachteiligen Auswirkungen der spike-bedingten Herunterregulierung von ACE2 auf die Verträglichkeit (</w:t>
      </w:r>
      <w:r w:rsidR="002F53ED">
        <w:rPr>
          <w:rFonts w:ascii="Times New Roman" w:hAnsi="Times New Roman" w:cs="Times New Roman"/>
          <w:sz w:val="24"/>
          <w:szCs w:val="24"/>
        </w:rPr>
        <w:t>10</w:t>
      </w:r>
      <w:r w:rsidR="009D3B16">
        <w:rPr>
          <w:rFonts w:ascii="Times New Roman" w:hAnsi="Times New Roman" w:cs="Times New Roman"/>
          <w:sz w:val="24"/>
          <w:szCs w:val="24"/>
        </w:rPr>
        <w:t>, 11</w:t>
      </w:r>
      <w:r w:rsidR="00B451B0" w:rsidRPr="00B451B0">
        <w:rPr>
          <w:rFonts w:ascii="Times New Roman" w:hAnsi="Times New Roman" w:cs="Times New Roman"/>
          <w:sz w:val="24"/>
          <w:szCs w:val="24"/>
        </w:rPr>
        <w:t xml:space="preserve">). Langzeitwirkungen sind zu erwarten. </w:t>
      </w:r>
    </w:p>
    <w:p w:rsidR="00060DA9" w:rsidRDefault="00060DA9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0A" w:rsidRDefault="00B451B0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1B0">
        <w:rPr>
          <w:rFonts w:ascii="Times New Roman" w:hAnsi="Times New Roman" w:cs="Times New Roman"/>
          <w:sz w:val="24"/>
          <w:szCs w:val="24"/>
        </w:rPr>
        <w:t xml:space="preserve">Der abschließende </w:t>
      </w:r>
      <w:r w:rsidR="00AD473F">
        <w:rPr>
          <w:rFonts w:ascii="Times New Roman" w:hAnsi="Times New Roman" w:cs="Times New Roman"/>
          <w:sz w:val="24"/>
          <w:szCs w:val="24"/>
        </w:rPr>
        <w:t>PEI-</w:t>
      </w:r>
      <w:r w:rsidRPr="00B451B0">
        <w:rPr>
          <w:rFonts w:ascii="Times New Roman" w:hAnsi="Times New Roman" w:cs="Times New Roman"/>
          <w:sz w:val="24"/>
          <w:szCs w:val="24"/>
        </w:rPr>
        <w:t>Sachstandsbericht zu den Covid-19 Impfstoffen (</w:t>
      </w:r>
      <w:r w:rsidR="002F53ED">
        <w:rPr>
          <w:rFonts w:ascii="Times New Roman" w:hAnsi="Times New Roman" w:cs="Times New Roman"/>
          <w:sz w:val="24"/>
          <w:szCs w:val="24"/>
        </w:rPr>
        <w:t>4</w:t>
      </w:r>
      <w:r w:rsidRPr="00B451B0">
        <w:rPr>
          <w:rFonts w:ascii="Times New Roman" w:hAnsi="Times New Roman" w:cs="Times New Roman"/>
          <w:sz w:val="24"/>
          <w:szCs w:val="24"/>
        </w:rPr>
        <w:t>) reflektiert die vorli</w:t>
      </w:r>
      <w:r w:rsidR="00D442B9">
        <w:rPr>
          <w:rFonts w:ascii="Times New Roman" w:hAnsi="Times New Roman" w:cs="Times New Roman"/>
          <w:sz w:val="24"/>
          <w:szCs w:val="24"/>
        </w:rPr>
        <w:t>egende Evidenz in keiner Weise,  noch können die mit den  Zulassungsunterlagen  bis Ende 2023 geforderten abschließenden Verträglichkeits-Erkenntnisse</w:t>
      </w:r>
      <w:r w:rsidR="00381146">
        <w:rPr>
          <w:rFonts w:ascii="Times New Roman" w:hAnsi="Times New Roman" w:cs="Times New Roman"/>
          <w:sz w:val="24"/>
          <w:szCs w:val="24"/>
        </w:rPr>
        <w:t xml:space="preserve"> bis 31.3.2023 </w:t>
      </w:r>
      <w:r w:rsidR="00C42F14">
        <w:rPr>
          <w:rFonts w:ascii="Times New Roman" w:hAnsi="Times New Roman" w:cs="Times New Roman"/>
          <w:sz w:val="24"/>
          <w:szCs w:val="24"/>
        </w:rPr>
        <w:t xml:space="preserve">überhaupt </w:t>
      </w:r>
      <w:r w:rsidR="00381146">
        <w:rPr>
          <w:rFonts w:ascii="Times New Roman" w:hAnsi="Times New Roman" w:cs="Times New Roman"/>
          <w:sz w:val="24"/>
          <w:szCs w:val="24"/>
        </w:rPr>
        <w:t xml:space="preserve">berücksichtigt worden sein. </w:t>
      </w:r>
      <w:r w:rsidR="0073042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Selbst gestellte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Ziele </w:t>
      </w:r>
      <w:r w:rsidRPr="00B45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e-DE"/>
        </w:rPr>
        <w:t xml:space="preserve">- Analysieren und Bewerten von Sicherheitsdaten, Implementieren von risikominimierenden Maßnahmen und Kommunizieren der Risiken an die Fachöffentlichkeit und die Allgemeinheit -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 (Vorwort Vieths und Broich </w:t>
      </w:r>
      <w:r w:rsidR="0073042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zu 6</w:t>
      </w:r>
      <w:r w:rsidR="00B06D8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 kommen nicht zur Anwendung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Das</w:t>
      </w:r>
      <w:r w:rsidR="0073042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zugegebenermaßen äußerst umfangreiche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Nebenwirkung</w:t>
      </w:r>
      <w:r w:rsidR="0073042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sspektrum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wird trotz konkret vorliegender Eviden</w:t>
      </w:r>
      <w:r w:rsidR="008F14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</w:t>
      </w:r>
      <w:r w:rsidR="008623D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nicht systematisch </w:t>
      </w:r>
      <w:r w:rsidR="008623D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lastRenderedPageBreak/>
        <w:t xml:space="preserve">analysiert, im Gegenteil, </w:t>
      </w:r>
      <w:r w:rsidR="008623DF">
        <w:rPr>
          <w:rFonts w:ascii="Times New Roman" w:hAnsi="Times New Roman" w:cs="Times New Roman"/>
          <w:sz w:val="24"/>
          <w:szCs w:val="24"/>
        </w:rPr>
        <w:t>durch Unsich</w:t>
      </w:r>
      <w:r w:rsidR="00730424">
        <w:rPr>
          <w:rFonts w:ascii="Times New Roman" w:hAnsi="Times New Roman" w:cs="Times New Roman"/>
          <w:sz w:val="24"/>
          <w:szCs w:val="24"/>
        </w:rPr>
        <w:t xml:space="preserve">tbarmachung </w:t>
      </w:r>
      <w:r w:rsidR="00CD6999">
        <w:rPr>
          <w:rFonts w:ascii="Times New Roman" w:hAnsi="Times New Roman" w:cs="Times New Roman"/>
          <w:sz w:val="24"/>
          <w:szCs w:val="24"/>
        </w:rPr>
        <w:t xml:space="preserve">(s. Todesfälle und Kommentierung von insgesamt  nur 1,6% aller Nebenwirkungsberichte) </w:t>
      </w:r>
      <w:r w:rsidR="00730424">
        <w:rPr>
          <w:rFonts w:ascii="Times New Roman" w:hAnsi="Times New Roman" w:cs="Times New Roman"/>
          <w:sz w:val="24"/>
          <w:szCs w:val="24"/>
        </w:rPr>
        <w:t xml:space="preserve">oder Verschleierung </w:t>
      </w:r>
      <w:r w:rsidR="00CD6999">
        <w:rPr>
          <w:rFonts w:ascii="Times New Roman" w:hAnsi="Times New Roman" w:cs="Times New Roman"/>
          <w:sz w:val="24"/>
          <w:szCs w:val="24"/>
        </w:rPr>
        <w:t xml:space="preserve">(942 298 unerwünschte Reaktionen von 340 282 Betroffenen werden zu 340 282 Meldungen von Verdachtsfällen!) </w:t>
      </w:r>
      <w:r w:rsidR="00730424">
        <w:rPr>
          <w:rFonts w:ascii="Times New Roman" w:hAnsi="Times New Roman" w:cs="Times New Roman"/>
          <w:sz w:val="24"/>
          <w:szCs w:val="24"/>
        </w:rPr>
        <w:t>wird eine K</w:t>
      </w:r>
      <w:r w:rsidR="008623DF">
        <w:rPr>
          <w:rFonts w:ascii="Times New Roman" w:hAnsi="Times New Roman" w:cs="Times New Roman"/>
          <w:sz w:val="24"/>
          <w:szCs w:val="24"/>
        </w:rPr>
        <w:t xml:space="preserve">lärung </w:t>
      </w:r>
      <w:r w:rsidR="00C42F14">
        <w:rPr>
          <w:rFonts w:ascii="Times New Roman" w:hAnsi="Times New Roman" w:cs="Times New Roman"/>
          <w:sz w:val="24"/>
          <w:szCs w:val="24"/>
        </w:rPr>
        <w:t xml:space="preserve">erschwert. </w:t>
      </w:r>
      <w:r w:rsidR="003C2230">
        <w:rPr>
          <w:rFonts w:ascii="Times New Roman" w:hAnsi="Times New Roman" w:cs="Times New Roman"/>
          <w:sz w:val="24"/>
          <w:szCs w:val="24"/>
        </w:rPr>
        <w:t xml:space="preserve">Auf die Spezifik spike-basierter Impfstoffe (spike-induzierend bzw. proteinbasiert) wird nicht eingegangen. </w:t>
      </w:r>
      <w:r w:rsidR="00403207">
        <w:rPr>
          <w:rFonts w:ascii="Times New Roman" w:hAnsi="Times New Roman" w:cs="Times New Roman"/>
          <w:sz w:val="24"/>
          <w:szCs w:val="24"/>
        </w:rPr>
        <w:t>Ausschließlich werden i</w:t>
      </w:r>
      <w:r w:rsidR="00B23DBD">
        <w:rPr>
          <w:rFonts w:ascii="Times New Roman" w:hAnsi="Times New Roman" w:cs="Times New Roman"/>
          <w:sz w:val="24"/>
          <w:szCs w:val="24"/>
        </w:rPr>
        <w:t>nternationale Studienergebnisse</w:t>
      </w:r>
      <w:r w:rsidR="0021505F">
        <w:rPr>
          <w:rFonts w:ascii="Times New Roman" w:hAnsi="Times New Roman" w:cs="Times New Roman"/>
          <w:sz w:val="24"/>
          <w:szCs w:val="24"/>
        </w:rPr>
        <w:t xml:space="preserve"> und Meta-Analysen</w:t>
      </w:r>
      <w:r w:rsidR="00B23DBD">
        <w:rPr>
          <w:rFonts w:ascii="Times New Roman" w:hAnsi="Times New Roman" w:cs="Times New Roman"/>
          <w:sz w:val="24"/>
          <w:szCs w:val="24"/>
        </w:rPr>
        <w:t xml:space="preserve"> </w:t>
      </w:r>
      <w:r w:rsidR="001A1681">
        <w:rPr>
          <w:rFonts w:ascii="Times New Roman" w:hAnsi="Times New Roman" w:cs="Times New Roman"/>
          <w:sz w:val="24"/>
          <w:szCs w:val="24"/>
        </w:rPr>
        <w:t>zur Interpretation der wenigen, heraus</w:t>
      </w:r>
      <w:r w:rsidR="001B6311">
        <w:rPr>
          <w:rFonts w:ascii="Times New Roman" w:hAnsi="Times New Roman" w:cs="Times New Roman"/>
          <w:sz w:val="24"/>
          <w:szCs w:val="24"/>
        </w:rPr>
        <w:t>gegriffenen Nebenwirkungen</w:t>
      </w:r>
      <w:r w:rsidR="001A1681">
        <w:rPr>
          <w:rFonts w:ascii="Times New Roman" w:hAnsi="Times New Roman" w:cs="Times New Roman"/>
          <w:sz w:val="24"/>
          <w:szCs w:val="24"/>
        </w:rPr>
        <w:t xml:space="preserve"> </w:t>
      </w:r>
      <w:r w:rsidR="00B23DBD">
        <w:rPr>
          <w:rFonts w:ascii="Times New Roman" w:hAnsi="Times New Roman" w:cs="Times New Roman"/>
          <w:sz w:val="24"/>
          <w:szCs w:val="24"/>
        </w:rPr>
        <w:t>be</w:t>
      </w:r>
      <w:r w:rsidR="00403207">
        <w:rPr>
          <w:rFonts w:ascii="Times New Roman" w:hAnsi="Times New Roman" w:cs="Times New Roman"/>
          <w:sz w:val="24"/>
          <w:szCs w:val="24"/>
        </w:rPr>
        <w:t>nutzt</w:t>
      </w:r>
      <w:r w:rsidR="001A1681">
        <w:rPr>
          <w:rFonts w:ascii="Times New Roman" w:hAnsi="Times New Roman" w:cs="Times New Roman"/>
          <w:sz w:val="24"/>
          <w:szCs w:val="24"/>
        </w:rPr>
        <w:t>, die naheliegende</w:t>
      </w:r>
      <w:r w:rsidR="00403207">
        <w:rPr>
          <w:rFonts w:ascii="Times New Roman" w:hAnsi="Times New Roman" w:cs="Times New Roman"/>
          <w:sz w:val="24"/>
          <w:szCs w:val="24"/>
        </w:rPr>
        <w:t xml:space="preserve"> </w:t>
      </w:r>
      <w:r w:rsidR="001A1681">
        <w:rPr>
          <w:rFonts w:ascii="Times New Roman" w:hAnsi="Times New Roman" w:cs="Times New Roman"/>
          <w:sz w:val="24"/>
          <w:szCs w:val="24"/>
        </w:rPr>
        <w:t xml:space="preserve">ACE2-Beteiligung </w:t>
      </w:r>
      <w:r w:rsidR="001B6311">
        <w:rPr>
          <w:rFonts w:ascii="Times New Roman" w:hAnsi="Times New Roman" w:cs="Times New Roman"/>
          <w:sz w:val="24"/>
          <w:szCs w:val="24"/>
        </w:rPr>
        <w:t xml:space="preserve">jedoch </w:t>
      </w:r>
      <w:r w:rsidR="001A1681">
        <w:rPr>
          <w:rFonts w:ascii="Times New Roman" w:hAnsi="Times New Roman" w:cs="Times New Roman"/>
          <w:sz w:val="24"/>
          <w:szCs w:val="24"/>
        </w:rPr>
        <w:t>weder angesprochen, noch untersucht. D</w:t>
      </w:r>
      <w:r w:rsidR="00B23DBD">
        <w:rPr>
          <w:rFonts w:ascii="Times New Roman" w:hAnsi="Times New Roman" w:cs="Times New Roman"/>
          <w:sz w:val="24"/>
          <w:szCs w:val="24"/>
        </w:rPr>
        <w:t xml:space="preserve">ie </w:t>
      </w:r>
      <w:r w:rsidR="001B6311">
        <w:rPr>
          <w:rFonts w:ascii="Times New Roman" w:hAnsi="Times New Roman" w:cs="Times New Roman"/>
          <w:sz w:val="24"/>
          <w:szCs w:val="24"/>
        </w:rPr>
        <w:t>Mehr</w:t>
      </w:r>
      <w:r w:rsidR="001A1681">
        <w:rPr>
          <w:rFonts w:ascii="Times New Roman" w:hAnsi="Times New Roman" w:cs="Times New Roman"/>
          <w:sz w:val="24"/>
          <w:szCs w:val="24"/>
        </w:rPr>
        <w:t xml:space="preserve">zahl der </w:t>
      </w:r>
      <w:r w:rsidR="00B23DBD">
        <w:rPr>
          <w:rFonts w:ascii="Times New Roman" w:hAnsi="Times New Roman" w:cs="Times New Roman"/>
          <w:sz w:val="24"/>
          <w:szCs w:val="24"/>
        </w:rPr>
        <w:t>dem PEI zugesandten Nebenwirkungsberichte</w:t>
      </w:r>
      <w:r w:rsidR="001A1681">
        <w:rPr>
          <w:rFonts w:ascii="Times New Roman" w:hAnsi="Times New Roman" w:cs="Times New Roman"/>
          <w:sz w:val="24"/>
          <w:szCs w:val="24"/>
        </w:rPr>
        <w:t xml:space="preserve"> und ihre Signalwirkung </w:t>
      </w:r>
      <w:r w:rsidR="00B23DBD">
        <w:rPr>
          <w:rFonts w:ascii="Times New Roman" w:hAnsi="Times New Roman" w:cs="Times New Roman"/>
          <w:sz w:val="24"/>
          <w:szCs w:val="24"/>
        </w:rPr>
        <w:t xml:space="preserve"> </w:t>
      </w:r>
      <w:r w:rsidR="001A1681">
        <w:rPr>
          <w:rFonts w:ascii="Times New Roman" w:hAnsi="Times New Roman" w:cs="Times New Roman"/>
          <w:sz w:val="24"/>
          <w:szCs w:val="24"/>
        </w:rPr>
        <w:t>w</w:t>
      </w:r>
      <w:r w:rsidR="00C42F14">
        <w:rPr>
          <w:rFonts w:ascii="Times New Roman" w:hAnsi="Times New Roman" w:cs="Times New Roman"/>
          <w:sz w:val="24"/>
          <w:szCs w:val="24"/>
        </w:rPr>
        <w:t>i</w:t>
      </w:r>
      <w:r w:rsidR="001A1681">
        <w:rPr>
          <w:rFonts w:ascii="Times New Roman" w:hAnsi="Times New Roman" w:cs="Times New Roman"/>
          <w:sz w:val="24"/>
          <w:szCs w:val="24"/>
        </w:rPr>
        <w:t xml:space="preserve">rd </w:t>
      </w:r>
      <w:r w:rsidR="00B23DBD">
        <w:rPr>
          <w:rFonts w:ascii="Times New Roman" w:hAnsi="Times New Roman" w:cs="Times New Roman"/>
          <w:sz w:val="24"/>
          <w:szCs w:val="24"/>
        </w:rPr>
        <w:t xml:space="preserve">zu Unrecht kleingeredet und mit Ignoranz, Bagatellisierung oder verharmlosender Kommentierung bedacht. </w:t>
      </w:r>
      <w:r w:rsidR="001B6311">
        <w:rPr>
          <w:rFonts w:ascii="Times New Roman" w:hAnsi="Times New Roman" w:cs="Times New Roman"/>
          <w:sz w:val="24"/>
          <w:szCs w:val="24"/>
        </w:rPr>
        <w:t xml:space="preserve">Klärende Untersuchungen unterblieben. </w:t>
      </w:r>
      <w:r w:rsidR="001B6311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Vorschläge zur Behandlung charakter</w:t>
      </w:r>
      <w:r w:rsidR="001B63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istischer Nebenwirkungen fehlen. </w:t>
      </w:r>
      <w:r w:rsidR="00F03369">
        <w:rPr>
          <w:rFonts w:ascii="Times New Roman" w:hAnsi="Times New Roman" w:cs="Times New Roman"/>
          <w:sz w:val="24"/>
          <w:szCs w:val="24"/>
        </w:rPr>
        <w:t xml:space="preserve">Anweisungen zur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Risikominimierung</w:t>
      </w:r>
      <w:r w:rsidR="00B06D8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wie z. Bsp.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B06D8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Vermeidung von vasokonstriktiver oder katechola</w:t>
      </w:r>
      <w:r w:rsidR="00B06D8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minerger Ko-bzw. Prämedikation  </w:t>
      </w:r>
      <w:r w:rsidR="00F0336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oder </w:t>
      </w:r>
      <w:r w:rsidR="00B06D8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Vermeidung einer RAAS-Aktivierung </w:t>
      </w:r>
      <w:r w:rsidR="00F0336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sucht man vergebens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1B6311" w:rsidRPr="001B63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1B6311" w:rsidRPr="00CD699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Eindeutige</w:t>
      </w:r>
      <w:r w:rsidR="001B631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Handlungskriterien zwecks Entscheidungsfindung liegen nicht vor. </w:t>
      </w:r>
      <w:r w:rsidRPr="00B451B0">
        <w:rPr>
          <w:rFonts w:ascii="Times New Roman" w:hAnsi="Times New Roman" w:cs="Times New Roman"/>
          <w:sz w:val="24"/>
          <w:szCs w:val="24"/>
        </w:rPr>
        <w:t>E</w:t>
      </w:r>
      <w:r w:rsidR="00E30F0A">
        <w:rPr>
          <w:rFonts w:ascii="Times New Roman" w:hAnsi="Times New Roman" w:cs="Times New Roman"/>
          <w:sz w:val="24"/>
          <w:szCs w:val="24"/>
        </w:rPr>
        <w:t xml:space="preserve">ine grundlegende Neu-Bewertung </w:t>
      </w:r>
      <w:r w:rsidRPr="00B451B0">
        <w:rPr>
          <w:rFonts w:ascii="Times New Roman" w:hAnsi="Times New Roman" w:cs="Times New Roman"/>
          <w:sz w:val="24"/>
          <w:szCs w:val="24"/>
        </w:rPr>
        <w:t>des Nutzen-Risiko</w:t>
      </w:r>
      <w:r w:rsidR="009D3B16">
        <w:rPr>
          <w:rFonts w:ascii="Times New Roman" w:hAnsi="Times New Roman" w:cs="Times New Roman"/>
          <w:sz w:val="24"/>
          <w:szCs w:val="24"/>
        </w:rPr>
        <w:t>-Verhältnisses dieser unausgereiften</w:t>
      </w:r>
      <w:r w:rsidRPr="00B451B0">
        <w:rPr>
          <w:rFonts w:ascii="Times New Roman" w:hAnsi="Times New Roman" w:cs="Times New Roman"/>
          <w:sz w:val="24"/>
          <w:szCs w:val="24"/>
        </w:rPr>
        <w:t xml:space="preserve"> Wirk-/Impfstoffe </w:t>
      </w:r>
      <w:r w:rsidR="006B24A6">
        <w:rPr>
          <w:rFonts w:ascii="Times New Roman" w:hAnsi="Times New Roman" w:cs="Times New Roman"/>
          <w:sz w:val="24"/>
          <w:szCs w:val="24"/>
        </w:rPr>
        <w:t xml:space="preserve">vor dem Hintergrund eines sich deutlich abschwächenden </w:t>
      </w:r>
      <w:r w:rsidRPr="00B451B0">
        <w:rPr>
          <w:rFonts w:ascii="Times New Roman" w:hAnsi="Times New Roman" w:cs="Times New Roman"/>
          <w:sz w:val="24"/>
          <w:szCs w:val="24"/>
        </w:rPr>
        <w:t xml:space="preserve">Krankheitsbildes und in Relation zu konventionellen Impfstoffen </w:t>
      </w:r>
      <w:r w:rsidR="0041481F">
        <w:rPr>
          <w:rFonts w:ascii="Times New Roman" w:hAnsi="Times New Roman" w:cs="Times New Roman"/>
          <w:sz w:val="24"/>
          <w:szCs w:val="24"/>
        </w:rPr>
        <w:t>unterblieb</w:t>
      </w:r>
      <w:r w:rsidRPr="00B451B0">
        <w:rPr>
          <w:rFonts w:ascii="Times New Roman" w:hAnsi="Times New Roman" w:cs="Times New Roman"/>
          <w:sz w:val="24"/>
          <w:szCs w:val="24"/>
        </w:rPr>
        <w:t>.</w:t>
      </w:r>
      <w:r w:rsidR="00E30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13B" w:rsidRDefault="00A6513B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36B" w:rsidRDefault="00B451B0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Fachöffentlichkeit, wie auch die Allgemeinheit werden auf der Grundlage dieser defizitären offiziellen Analysen </w:t>
      </w:r>
      <w:r w:rsidR="00AD473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weiterhin </w:t>
      </w:r>
      <w:r w:rsidR="008F14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 </w:t>
      </w:r>
      <w:r w:rsidR="006B24A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Detailu</w:t>
      </w:r>
      <w:r w:rsidR="008F14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6B24A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wissen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gehalten</w:t>
      </w:r>
      <w:r w:rsidR="00903F0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Ist die </w:t>
      </w:r>
      <w:r w:rsidR="00AD473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erweigerung </w:t>
      </w:r>
      <w:r w:rsidR="00AD473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der Kenntnisnahme von </w:t>
      </w:r>
      <w:r w:rsidR="0041481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Evidenz, selbst solcher, die aus der eigenen Institution stammt, </w:t>
      </w:r>
      <w:r w:rsidR="00AD473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41481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Absicht oder Unvermögen? Die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Pharmakovigilanz-Verantwortlichen des PEI</w:t>
      </w:r>
      <w:r w:rsidR="00DC489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und</w:t>
      </w:r>
      <w:r w:rsidR="0041481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die</w:t>
      </w:r>
      <w:r w:rsidR="00BC275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drei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deutschen PRAC-Mitglieder  (PRAC: Sicherheitsausschu</w:t>
      </w:r>
      <w:r w:rsidR="0092630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ß der europäischen Arzneimittel</w:t>
      </w:r>
      <w:r w:rsidR="0041481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zulassungs</w:t>
      </w:r>
      <w:r w:rsidR="00DC489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-</w:t>
      </w:r>
      <w:r w:rsidR="0041481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</w:t>
      </w:r>
      <w:r w:rsidR="00A6513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hörde EMA) wurden</w:t>
      </w:r>
      <w:r w:rsidR="00DC489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aufgerufen, offene Fragen</w:t>
      </w:r>
      <w:r w:rsidR="00A6513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zuletzt zwischen März und Oktober 2024 </w:t>
      </w:r>
      <w:r w:rsidR="00A6513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von mir </w:t>
      </w:r>
      <w:r w:rsidR="00AE5C8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versandt</w:t>
      </w:r>
      <w:r w:rsidR="00A6513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) </w:t>
      </w:r>
      <w:r w:rsidR="003C223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zu beantworten.</w:t>
      </w:r>
      <w:r w:rsidR="00A6513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Es erfolgte nichts, auch nicht seitens der AkdÄ, der zuständigen Kommission der deutschen Ärzteschaft, die gleichzeitig informiert wurde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Meine Schlußfolgerung, spike-basierte Covid-19 Impfstoffe wegen ihre</w:t>
      </w:r>
      <w:r w:rsidR="0092630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unverhältnismäßig</w:t>
      </w:r>
      <w:r w:rsidR="008F14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umfangreichen und z.T. schwerwiege</w:t>
      </w:r>
      <w:r w:rsidR="00903F0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="008F14B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den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Unverträglichkeit</w:t>
      </w:r>
      <w:r w:rsidR="0092630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sspektrums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nicht mehr länger präventiv einzusetzen, wurde</w:t>
      </w:r>
      <w:r w:rsidR="00D91F4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weder entkräftet noch zurückgewiesen.  </w:t>
      </w:r>
    </w:p>
    <w:p w:rsidR="00E30F0A" w:rsidRPr="00B451B0" w:rsidRDefault="00E30F0A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F51178" w:rsidRDefault="0018636B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 Zeiten international wachsender Aufmerksamkeit bezüglich der </w:t>
      </w:r>
      <w:r w:rsidR="00D91F4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Verträglichkeit</w:t>
      </w:r>
      <w:r w:rsidR="00614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von Covid-19-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Wirk-/Impfstoffen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und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insbesondere in Anbetracht der bereits laufenden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fatalen 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Entwicklung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von selbst-amplifizierenden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mRNA-Wirk-/Impfstoffe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903F0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ist es geboten, endlich 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den weiteren Einsatz d</w:t>
      </w:r>
      <w:r w:rsidR="0092630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ies</w:t>
      </w:r>
      <w:r w:rsidR="00B451B0"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er experimentellen, spike-basi</w:t>
      </w:r>
      <w:r w:rsidR="004228C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erten </w:t>
      </w:r>
      <w:r w:rsidR="00EF29E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Covid-19-</w:t>
      </w:r>
      <w:r w:rsidR="006144E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Wirk-/</w:t>
      </w:r>
      <w:r w:rsidR="004228C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Impfstoffe </w:t>
      </w:r>
      <w:r w:rsidR="008623D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auszusetzen</w:t>
      </w:r>
      <w:r w:rsidR="00F51178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BC275C" w:rsidRPr="00BC275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BC275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Impfgeschädigten steht eine sorgsame Behandlung und großzügige Kompensation ihrer Leiden zu, Ungeimpften und jenen, die der berufsbezogenen </w:t>
      </w:r>
      <w:r w:rsidR="00651E0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Covid-19-</w:t>
      </w:r>
      <w:r w:rsidR="00BC275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Impfpflicht nicht folgten, die volle Rehabilitation.</w:t>
      </w:r>
    </w:p>
    <w:p w:rsidR="00BC275C" w:rsidRDefault="00BC275C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5F117D" w:rsidRDefault="009D3B16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Die Fehleinschätzungen und-entscheidungen, die diese menschengemachte Krise </w:t>
      </w:r>
      <w:r w:rsidR="00B41DF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bedingten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</w:t>
      </w:r>
      <w:r w:rsidR="00D534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bedürfen 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selbstverständlich </w:t>
      </w:r>
      <w:r w:rsidR="00D534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</w:t>
      </w:r>
      <w:r w:rsidR="0094793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er Aufarb</w:t>
      </w:r>
      <w:r w:rsidR="00D534E9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eitung und</w:t>
      </w:r>
      <w:r w:rsidR="0094793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der </w:t>
      </w:r>
      <w:r w:rsidR="0094793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Bereitschaft zur Korrektur. 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Eine Schlüsselfunktion </w:t>
      </w:r>
      <w:r w:rsidR="00A6513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nimmt die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A6513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initiale 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Fehleinschätzung der Corona-Epi-/Pandemie</w:t>
      </w:r>
      <w:r w:rsidR="007D15B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ein</w:t>
      </w:r>
      <w:r w:rsidR="005F117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 Sie ist deshalb so bedeutungsvoll, weil sie den politischen Akteuren als</w:t>
      </w:r>
      <w:r w:rsidR="007D15B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Voraussetzung aller Unverhältnismäßigkeiten von Lock-Down-Maßnahmen, einschließlich juristischer,</w:t>
      </w:r>
      <w:r w:rsidR="005F117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diente</w:t>
      </w:r>
      <w:r w:rsidR="007D15B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und </w:t>
      </w:r>
      <w:r w:rsidR="005F117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unberechtigterweise Voraussetzung für die </w:t>
      </w:r>
      <w:r w:rsidR="007D15B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Inanspruchnahme einer erleichterten</w:t>
      </w:r>
      <w:r w:rsidR="005F117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bedingten </w:t>
      </w:r>
      <w:r w:rsidR="007D15B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europäischen Impfstoff-Zulassung </w:t>
      </w:r>
      <w:r w:rsidR="005F117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war </w:t>
      </w:r>
      <w:r w:rsidR="007D15B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(</w:t>
      </w:r>
      <w:r w:rsidR="005F117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bzw. </w:t>
      </w:r>
      <w:r w:rsidR="007D15B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Notfallzulassung in den USA)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</w:p>
    <w:p w:rsidR="006B24A6" w:rsidRDefault="00BC275C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Für das Management möglicher zukü</w:t>
      </w:r>
      <w:r w:rsidR="006B24A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</w:t>
      </w:r>
      <w:r w:rsidR="006B24A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r</w:t>
      </w:r>
      <w:r w:rsidR="006B24A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Epi-/Pandemien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ist die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Einbindung der Ärzteschaft </w:t>
      </w:r>
      <w:r w:rsidR="00AE1234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und ihres breiten Erfahrungsschatzes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von Anfang an unabdingbar. </w:t>
      </w:r>
    </w:p>
    <w:p w:rsidR="006B24A6" w:rsidRDefault="006B24A6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8F14BC" w:rsidRDefault="008F14BC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451B0" w:rsidRPr="00B451B0" w:rsidRDefault="00B451B0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18636B" w:rsidRDefault="0018636B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="0092630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Dresden, am 2</w:t>
      </w:r>
      <w:r w:rsidR="005F117D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7</w:t>
      </w:r>
      <w:r w:rsidR="0092630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.01.2025</w:t>
      </w:r>
    </w:p>
    <w:p w:rsidR="00A53F52" w:rsidRDefault="00A53F52" w:rsidP="00670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lastRenderedPageBreak/>
        <w:t>Quellen</w:t>
      </w:r>
    </w:p>
    <w:p w:rsidR="006705B5" w:rsidRPr="006705B5" w:rsidRDefault="006705B5" w:rsidP="00670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</w:p>
    <w:p w:rsidR="00C95F44" w:rsidRDefault="00C95F44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705B5">
        <w:rPr>
          <w:rFonts w:ascii="Times New Roman" w:hAnsi="Times New Roman" w:cs="Times New Roman"/>
          <w:color w:val="1C1D1F"/>
          <w:spacing w:val="-1"/>
          <w:sz w:val="24"/>
          <w:szCs w:val="24"/>
        </w:rPr>
        <w:t>Preliminary Estimates of COVID-19 Burden for 2024-2025, December 6 2024</w:t>
      </w:r>
      <w:r w:rsidR="00F51178" w:rsidRPr="006705B5">
        <w:rPr>
          <w:rFonts w:ascii="Times New Roman" w:hAnsi="Times New Roman" w:cs="Times New Roman"/>
          <w:color w:val="1C1D1F"/>
          <w:spacing w:val="-1"/>
          <w:sz w:val="24"/>
          <w:szCs w:val="24"/>
        </w:rPr>
        <w:t xml:space="preserve"> </w:t>
      </w:r>
      <w:hyperlink r:id="rId7" w:history="1">
        <w:r w:rsidRPr="006705B5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https://www.cdc.gov/covid/php/surveillance/burden-estimates.html</w:t>
        </w:r>
      </w:hyperlink>
    </w:p>
    <w:p w:rsidR="006705B5" w:rsidRPr="006705B5" w:rsidRDefault="006705B5" w:rsidP="006705B5">
      <w:pPr>
        <w:pStyle w:val="Listenabsatz"/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12C92" w:rsidRDefault="00E56A58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6705B5" w:rsidRPr="00183B73">
          <w:rPr>
            <w:rStyle w:val="Hyperlink"/>
            <w:rFonts w:ascii="Times New Roman" w:hAnsi="Times New Roman" w:cs="Times New Roman"/>
            <w:sz w:val="24"/>
            <w:szCs w:val="24"/>
          </w:rPr>
          <w:t>https://www.abgeordnetenwatch.de/sites/default/files/media/documents/2020-04/bmi-corona-strategiepapier.pdf</w:t>
        </w:r>
      </w:hyperlink>
    </w:p>
    <w:p w:rsidR="006705B5" w:rsidRPr="006705B5" w:rsidRDefault="006705B5" w:rsidP="006705B5">
      <w:pPr>
        <w:pStyle w:val="Listenabsatz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410FA" w:rsidRDefault="006705B5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5B5">
        <w:rPr>
          <w:rFonts w:ascii="Times New Roman" w:hAnsi="Times New Roman" w:cs="Times New Roman"/>
          <w:sz w:val="24"/>
          <w:szCs w:val="24"/>
        </w:rPr>
        <w:t xml:space="preserve">Täglicher Lagebericht des RKI zur Coronavirus-Krankheit-2019 bspw.: </w:t>
      </w:r>
      <w:hyperlink r:id="rId9" w:history="1">
        <w:r w:rsidRPr="006705B5">
          <w:rPr>
            <w:rStyle w:val="Hyperlink"/>
            <w:rFonts w:ascii="Times New Roman" w:hAnsi="Times New Roman" w:cs="Times New Roman"/>
            <w:sz w:val="24"/>
            <w:szCs w:val="24"/>
          </w:rPr>
          <w:t>https://www.rki.de/DE/Content/InfAZ/N/Neuartiges_Coronavirus/Situationsberichte/2020-07-30-de.pdf?__blob=publicationFile</w:t>
        </w:r>
      </w:hyperlink>
    </w:p>
    <w:p w:rsidR="006705B5" w:rsidRPr="006705B5" w:rsidRDefault="006705B5" w:rsidP="006705B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6013F3" w:rsidRDefault="006013F3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Mentzer D, Oberle D, Streit R, Weisser K, Keller-Stanislawski B: Sicherheitsprofil der</w:t>
      </w:r>
    </w:p>
    <w:p w:rsidR="006013F3" w:rsidRPr="006705B5" w:rsidRDefault="006013F3" w:rsidP="006705B5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COVID-19-Impfstoffe – Sachstand 31.03.2023  BfArM/PEI, Ausgabe 2, Juni 2023</w:t>
      </w:r>
    </w:p>
    <w:p w:rsidR="00C95F44" w:rsidRPr="006705B5" w:rsidRDefault="00A81702" w:rsidP="006705B5">
      <w:pPr>
        <w:pStyle w:val="berschrift1"/>
        <w:numPr>
          <w:ilvl w:val="0"/>
          <w:numId w:val="4"/>
        </w:numPr>
        <w:spacing w:after="0" w:afterAutospacing="0"/>
        <w:jc w:val="both"/>
        <w:rPr>
          <w:b w:val="0"/>
          <w:bCs w:val="0"/>
          <w:color w:val="1C1D1F"/>
          <w:spacing w:val="-1"/>
          <w:sz w:val="24"/>
          <w:szCs w:val="24"/>
        </w:rPr>
      </w:pPr>
      <w:r w:rsidRPr="006705B5">
        <w:rPr>
          <w:b w:val="0"/>
          <w:color w:val="000000"/>
          <w:sz w:val="24"/>
          <w:szCs w:val="24"/>
        </w:rPr>
        <w:t>Lehmann KJ: The Global and Specific Cardiovascular Burden of Spike-based COVID-19 Vaccination; Int J Cardiol Res 2023; 12:5</w:t>
      </w:r>
    </w:p>
    <w:p w:rsidR="00A53F52" w:rsidRPr="006705B5" w:rsidRDefault="00A53F52" w:rsidP="006705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A53F52" w:rsidRDefault="00A53F52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Streit R, Mentzer D: Pharmakovigilanz von Impfstoffen aus den Jahren 2022 und 2023, Bulletin zur Arzneimittelsicherheit, BfArM/PEI, Ausgabe 3, September  2024</w:t>
      </w:r>
    </w:p>
    <w:p w:rsidR="00756781" w:rsidRPr="00756781" w:rsidRDefault="00756781" w:rsidP="00756781">
      <w:pPr>
        <w:pStyle w:val="Listenabsatz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756781" w:rsidRPr="006705B5" w:rsidRDefault="00756781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Lehmann KJ: SARS-CoV-2-Spike Interactions with the Renin-Angiotensin-Aldosterone System – Consequences of Adverse Reactions of Vaccination. Journal of Biology and Today’s 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World 2023;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12/04, 001-0013</w:t>
      </w:r>
    </w:p>
    <w:p w:rsidR="00A53F52" w:rsidRPr="006705B5" w:rsidRDefault="00A53F52" w:rsidP="006705B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451B0" w:rsidRPr="006705B5" w:rsidRDefault="00B9627E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Lehmann KJ: Spike-Induced Disturbances (SPAS): An Analysis </w:t>
      </w:r>
      <w:r w:rsidR="00B451B0"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of Common Suspected</w:t>
      </w:r>
    </w:p>
    <w:p w:rsidR="00B9627E" w:rsidRDefault="00B9627E" w:rsidP="006705B5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Adverse experiences associated With Covid-19 Vaccines I J Infect</w:t>
      </w:r>
      <w:r w:rsidR="00B451B0"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ious Disea 2022</w:t>
      </w:r>
      <w:r w:rsidR="006E2B5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</w:t>
      </w:r>
      <w:r w:rsidR="00B451B0"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3(1): 1-</w:t>
      </w: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19 </w:t>
      </w:r>
    </w:p>
    <w:p w:rsidR="006705B5" w:rsidRPr="006705B5" w:rsidRDefault="006705B5" w:rsidP="006705B5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9627E" w:rsidRPr="006E0247" w:rsidRDefault="00F5096E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Lehmann KJ: Suspected Cardiovascular Side Effects of two COVID-19 Vaccines </w:t>
      </w:r>
      <w:r w:rsidRPr="006E024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JBTW 2021</w:t>
      </w:r>
      <w:r w:rsidR="006E2B51" w:rsidRPr="006E024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;</w:t>
      </w:r>
      <w:r w:rsidRPr="006E024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10/5: 001-006</w:t>
      </w:r>
    </w:p>
    <w:p w:rsidR="00A53F52" w:rsidRPr="006E0247" w:rsidRDefault="00A53F52" w:rsidP="006705B5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A53F52" w:rsidRPr="006705B5" w:rsidRDefault="00A53F52" w:rsidP="006705B5">
      <w:pPr>
        <w:pStyle w:val="Listenabsatz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  <w:r w:rsidRPr="006E024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L</w:t>
      </w: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ehmann KJ: </w:t>
      </w:r>
      <w:r w:rsidRPr="006705B5">
        <w:rPr>
          <w:rFonts w:ascii="Times New Roman" w:eastAsia="Times New Roman" w:hAnsi="Times New Roman" w:cs="Times New Roman"/>
          <w:color w:val="212529"/>
          <w:sz w:val="24"/>
          <w:szCs w:val="24"/>
          <w:lang w:eastAsia="de-DE"/>
        </w:rPr>
        <w:t>Impact of SARS-CoV-2 Spikes on Safety of Spike-Based COVID-19 Vaccinations. Immunome Res 2024</w:t>
      </w:r>
      <w:r w:rsidR="00B451B0" w:rsidRPr="006705B5">
        <w:rPr>
          <w:rFonts w:ascii="Times New Roman" w:eastAsia="Times New Roman" w:hAnsi="Times New Roman" w:cs="Times New Roman"/>
          <w:color w:val="212529"/>
          <w:sz w:val="24"/>
          <w:szCs w:val="24"/>
          <w:lang w:eastAsia="de-DE"/>
        </w:rPr>
        <w:t>;</w:t>
      </w:r>
      <w:r w:rsidRPr="006705B5">
        <w:rPr>
          <w:rFonts w:ascii="Times New Roman" w:eastAsia="Times New Roman" w:hAnsi="Times New Roman" w:cs="Times New Roman"/>
          <w:color w:val="212529"/>
          <w:sz w:val="24"/>
          <w:szCs w:val="24"/>
          <w:lang w:eastAsia="de-DE"/>
        </w:rPr>
        <w:t xml:space="preserve"> 20/2: 267</w:t>
      </w:r>
    </w:p>
    <w:p w:rsidR="006705B5" w:rsidRPr="006705B5" w:rsidRDefault="006705B5" w:rsidP="006705B5">
      <w:pPr>
        <w:pStyle w:val="Listenabsatz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</w:pPr>
    </w:p>
    <w:p w:rsidR="006705B5" w:rsidRPr="006705B5" w:rsidRDefault="00A53F52" w:rsidP="006705B5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Lehmann KJ: Suspected Causes of the Specific Intolerance Profile of Spike-Based </w:t>
      </w:r>
    </w:p>
    <w:p w:rsidR="00A53F52" w:rsidRPr="006705B5" w:rsidRDefault="00A53F52" w:rsidP="006705B5">
      <w:pPr>
        <w:pStyle w:val="Listenabsatz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Covid-19 Vaccines (Review/Analysis) Medical Research Archives, [online] 202</w:t>
      </w:r>
      <w:r w:rsidR="006705B5" w:rsidRPr="006705B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4; 12(9)</w:t>
      </w:r>
    </w:p>
    <w:p w:rsidR="006705B5" w:rsidRDefault="006705B5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6705B5" w:rsidRDefault="006705B5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bookmarkStart w:id="0" w:name="_GoBack"/>
      <w:bookmarkEnd w:id="0"/>
    </w:p>
    <w:p w:rsidR="006705B5" w:rsidRDefault="006705B5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6705B5" w:rsidRDefault="006705B5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A53F52" w:rsidRPr="00B451B0" w:rsidRDefault="00A53F52" w:rsidP="00B45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451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:rsidR="00A53F52" w:rsidRDefault="00A53F52" w:rsidP="00B451B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  <w:r w:rsidRPr="00B451B0">
        <w:rPr>
          <w:rFonts w:ascii="Tahoma" w:eastAsia="Times New Roman" w:hAnsi="Tahoma" w:cs="Tahoma"/>
          <w:color w:val="000000"/>
          <w:sz w:val="24"/>
          <w:szCs w:val="24"/>
          <w:lang w:eastAsia="de-DE"/>
        </w:rPr>
        <w:t>﻿</w:t>
      </w:r>
    </w:p>
    <w:p w:rsidR="00BC275C" w:rsidRDefault="00BC275C" w:rsidP="00B451B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</w:p>
    <w:p w:rsidR="00BC275C" w:rsidRDefault="00BC275C" w:rsidP="00B451B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</w:p>
    <w:p w:rsidR="00BC275C" w:rsidRDefault="00BC275C" w:rsidP="00B451B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</w:p>
    <w:p w:rsidR="00BC275C" w:rsidRDefault="00BC275C" w:rsidP="00B451B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</w:p>
    <w:p w:rsidR="00BC275C" w:rsidRDefault="00BC275C" w:rsidP="00B451B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de-DE"/>
        </w:rPr>
      </w:pPr>
    </w:p>
    <w:p w:rsidR="00BC275C" w:rsidRPr="00B451B0" w:rsidRDefault="00BC275C" w:rsidP="00B4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F5C" w:rsidRDefault="00732F5C" w:rsidP="00732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732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58" w:rsidRDefault="00E56A58" w:rsidP="009F0819">
      <w:pPr>
        <w:spacing w:after="0" w:line="240" w:lineRule="auto"/>
      </w:pPr>
      <w:r>
        <w:separator/>
      </w:r>
    </w:p>
  </w:endnote>
  <w:endnote w:type="continuationSeparator" w:id="0">
    <w:p w:rsidR="00E56A58" w:rsidRDefault="00E56A58" w:rsidP="009F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19" w:rsidRDefault="009F08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695119"/>
      <w:docPartObj>
        <w:docPartGallery w:val="Page Numbers (Bottom of Page)"/>
        <w:docPartUnique/>
      </w:docPartObj>
    </w:sdtPr>
    <w:sdtEndPr/>
    <w:sdtContent>
      <w:p w:rsidR="009F0819" w:rsidRDefault="009F081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33C">
          <w:rPr>
            <w:noProof/>
          </w:rPr>
          <w:t>8</w:t>
        </w:r>
        <w:r>
          <w:fldChar w:fldCharType="end"/>
        </w:r>
      </w:p>
    </w:sdtContent>
  </w:sdt>
  <w:p w:rsidR="009F0819" w:rsidRDefault="009F081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19" w:rsidRDefault="009F08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58" w:rsidRDefault="00E56A58" w:rsidP="009F0819">
      <w:pPr>
        <w:spacing w:after="0" w:line="240" w:lineRule="auto"/>
      </w:pPr>
      <w:r>
        <w:separator/>
      </w:r>
    </w:p>
  </w:footnote>
  <w:footnote w:type="continuationSeparator" w:id="0">
    <w:p w:rsidR="00E56A58" w:rsidRDefault="00E56A58" w:rsidP="009F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19" w:rsidRDefault="009F081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19" w:rsidRDefault="009F081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19" w:rsidRDefault="009F081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42B7"/>
    <w:multiLevelType w:val="hybridMultilevel"/>
    <w:tmpl w:val="6E0650FE"/>
    <w:lvl w:ilvl="0" w:tplc="0407000B">
      <w:start w:val="4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1651F"/>
    <w:multiLevelType w:val="hybridMultilevel"/>
    <w:tmpl w:val="A434D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621EB"/>
    <w:multiLevelType w:val="hybridMultilevel"/>
    <w:tmpl w:val="99641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7428B"/>
    <w:multiLevelType w:val="hybridMultilevel"/>
    <w:tmpl w:val="B5F06052"/>
    <w:lvl w:ilvl="0" w:tplc="A618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422F4"/>
    <w:multiLevelType w:val="hybridMultilevel"/>
    <w:tmpl w:val="C6ECD198"/>
    <w:lvl w:ilvl="0" w:tplc="0407000B">
      <w:start w:val="4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E5"/>
    <w:rsid w:val="00000B94"/>
    <w:rsid w:val="00005FED"/>
    <w:rsid w:val="0001293E"/>
    <w:rsid w:val="000140D4"/>
    <w:rsid w:val="00043664"/>
    <w:rsid w:val="00060DA9"/>
    <w:rsid w:val="00067364"/>
    <w:rsid w:val="00071791"/>
    <w:rsid w:val="00073E7E"/>
    <w:rsid w:val="000B2968"/>
    <w:rsid w:val="000D5F0D"/>
    <w:rsid w:val="000E0086"/>
    <w:rsid w:val="00105E74"/>
    <w:rsid w:val="0011092C"/>
    <w:rsid w:val="001211AC"/>
    <w:rsid w:val="0014562D"/>
    <w:rsid w:val="00147126"/>
    <w:rsid w:val="00151CDF"/>
    <w:rsid w:val="00166793"/>
    <w:rsid w:val="0018636B"/>
    <w:rsid w:val="00187114"/>
    <w:rsid w:val="00187B17"/>
    <w:rsid w:val="001A1681"/>
    <w:rsid w:val="001B13DB"/>
    <w:rsid w:val="001B24B2"/>
    <w:rsid w:val="001B6311"/>
    <w:rsid w:val="001C13F9"/>
    <w:rsid w:val="001C2D2E"/>
    <w:rsid w:val="001C3067"/>
    <w:rsid w:val="001C5348"/>
    <w:rsid w:val="001C6460"/>
    <w:rsid w:val="001D16AA"/>
    <w:rsid w:val="001F02C7"/>
    <w:rsid w:val="001F4EED"/>
    <w:rsid w:val="001F53A0"/>
    <w:rsid w:val="001F7704"/>
    <w:rsid w:val="002053AA"/>
    <w:rsid w:val="0021505F"/>
    <w:rsid w:val="002172A2"/>
    <w:rsid w:val="00226E7A"/>
    <w:rsid w:val="002278E4"/>
    <w:rsid w:val="00231C26"/>
    <w:rsid w:val="002454E9"/>
    <w:rsid w:val="00245707"/>
    <w:rsid w:val="00246817"/>
    <w:rsid w:val="00273E77"/>
    <w:rsid w:val="00283ABF"/>
    <w:rsid w:val="00297953"/>
    <w:rsid w:val="002A062E"/>
    <w:rsid w:val="002B0A1C"/>
    <w:rsid w:val="002C7EB1"/>
    <w:rsid w:val="002E27D8"/>
    <w:rsid w:val="002F47AB"/>
    <w:rsid w:val="002F53ED"/>
    <w:rsid w:val="00300ACE"/>
    <w:rsid w:val="00302B4C"/>
    <w:rsid w:val="00306F6D"/>
    <w:rsid w:val="00316FC5"/>
    <w:rsid w:val="0032278A"/>
    <w:rsid w:val="00363C58"/>
    <w:rsid w:val="00381146"/>
    <w:rsid w:val="00394198"/>
    <w:rsid w:val="003A1F83"/>
    <w:rsid w:val="003A2711"/>
    <w:rsid w:val="003A3582"/>
    <w:rsid w:val="003A7CDC"/>
    <w:rsid w:val="003C2230"/>
    <w:rsid w:val="003F67DA"/>
    <w:rsid w:val="00403207"/>
    <w:rsid w:val="0041481F"/>
    <w:rsid w:val="004228CA"/>
    <w:rsid w:val="00423E6D"/>
    <w:rsid w:val="0042551E"/>
    <w:rsid w:val="00425989"/>
    <w:rsid w:val="0043099F"/>
    <w:rsid w:val="0043485D"/>
    <w:rsid w:val="0043689E"/>
    <w:rsid w:val="0043795B"/>
    <w:rsid w:val="00464239"/>
    <w:rsid w:val="004656B1"/>
    <w:rsid w:val="00487FEC"/>
    <w:rsid w:val="00491640"/>
    <w:rsid w:val="00517BFA"/>
    <w:rsid w:val="005310E8"/>
    <w:rsid w:val="005321A2"/>
    <w:rsid w:val="005536E7"/>
    <w:rsid w:val="00566C0F"/>
    <w:rsid w:val="005801F8"/>
    <w:rsid w:val="005A514A"/>
    <w:rsid w:val="005C2EBE"/>
    <w:rsid w:val="005C3A30"/>
    <w:rsid w:val="005C5A56"/>
    <w:rsid w:val="005D1833"/>
    <w:rsid w:val="005D445C"/>
    <w:rsid w:val="005D5B25"/>
    <w:rsid w:val="005F117D"/>
    <w:rsid w:val="006013F3"/>
    <w:rsid w:val="00602B4E"/>
    <w:rsid w:val="006144E5"/>
    <w:rsid w:val="00616D9D"/>
    <w:rsid w:val="00630441"/>
    <w:rsid w:val="00632618"/>
    <w:rsid w:val="0064309B"/>
    <w:rsid w:val="00651E0F"/>
    <w:rsid w:val="00660F11"/>
    <w:rsid w:val="006705B5"/>
    <w:rsid w:val="00670827"/>
    <w:rsid w:val="0067123D"/>
    <w:rsid w:val="00693B7C"/>
    <w:rsid w:val="00695561"/>
    <w:rsid w:val="006A3117"/>
    <w:rsid w:val="006A5ADC"/>
    <w:rsid w:val="006B24A6"/>
    <w:rsid w:val="006B4823"/>
    <w:rsid w:val="006B68CB"/>
    <w:rsid w:val="006C61F5"/>
    <w:rsid w:val="006C62B6"/>
    <w:rsid w:val="006E0247"/>
    <w:rsid w:val="006E2B51"/>
    <w:rsid w:val="006E3C39"/>
    <w:rsid w:val="006F0CEE"/>
    <w:rsid w:val="00721E5B"/>
    <w:rsid w:val="007252C2"/>
    <w:rsid w:val="00730424"/>
    <w:rsid w:val="00732F5C"/>
    <w:rsid w:val="007369A5"/>
    <w:rsid w:val="007457D8"/>
    <w:rsid w:val="0075149A"/>
    <w:rsid w:val="00751785"/>
    <w:rsid w:val="00753428"/>
    <w:rsid w:val="00754B48"/>
    <w:rsid w:val="00756781"/>
    <w:rsid w:val="00760B24"/>
    <w:rsid w:val="00762A5C"/>
    <w:rsid w:val="00772224"/>
    <w:rsid w:val="00776423"/>
    <w:rsid w:val="007A5E74"/>
    <w:rsid w:val="007A7B7D"/>
    <w:rsid w:val="007B1173"/>
    <w:rsid w:val="007B43ED"/>
    <w:rsid w:val="007B72A5"/>
    <w:rsid w:val="007C024B"/>
    <w:rsid w:val="007C1ADF"/>
    <w:rsid w:val="007C6AE1"/>
    <w:rsid w:val="007D15BD"/>
    <w:rsid w:val="007D3D86"/>
    <w:rsid w:val="007F4D8A"/>
    <w:rsid w:val="00834EBA"/>
    <w:rsid w:val="00846104"/>
    <w:rsid w:val="008575FA"/>
    <w:rsid w:val="00860F26"/>
    <w:rsid w:val="008623DF"/>
    <w:rsid w:val="008743B3"/>
    <w:rsid w:val="00874D55"/>
    <w:rsid w:val="00882A59"/>
    <w:rsid w:val="0089035D"/>
    <w:rsid w:val="008B15FA"/>
    <w:rsid w:val="008B6573"/>
    <w:rsid w:val="008D736D"/>
    <w:rsid w:val="008F14BC"/>
    <w:rsid w:val="008F5DE3"/>
    <w:rsid w:val="00903F09"/>
    <w:rsid w:val="0091234F"/>
    <w:rsid w:val="009142F0"/>
    <w:rsid w:val="00916943"/>
    <w:rsid w:val="00916A21"/>
    <w:rsid w:val="0092124D"/>
    <w:rsid w:val="00921C9E"/>
    <w:rsid w:val="00923459"/>
    <w:rsid w:val="00923577"/>
    <w:rsid w:val="00925E59"/>
    <w:rsid w:val="009262A0"/>
    <w:rsid w:val="0092630E"/>
    <w:rsid w:val="009440DB"/>
    <w:rsid w:val="00947935"/>
    <w:rsid w:val="0096408A"/>
    <w:rsid w:val="00971C97"/>
    <w:rsid w:val="00996721"/>
    <w:rsid w:val="00997AB6"/>
    <w:rsid w:val="009A0F67"/>
    <w:rsid w:val="009C78D8"/>
    <w:rsid w:val="009D3B16"/>
    <w:rsid w:val="009E1138"/>
    <w:rsid w:val="009E4342"/>
    <w:rsid w:val="009E5F2F"/>
    <w:rsid w:val="009F0819"/>
    <w:rsid w:val="00A02DE4"/>
    <w:rsid w:val="00A10FF7"/>
    <w:rsid w:val="00A34404"/>
    <w:rsid w:val="00A422F6"/>
    <w:rsid w:val="00A522BD"/>
    <w:rsid w:val="00A53F52"/>
    <w:rsid w:val="00A6513B"/>
    <w:rsid w:val="00A71554"/>
    <w:rsid w:val="00A81702"/>
    <w:rsid w:val="00AA2A5D"/>
    <w:rsid w:val="00AA4DD2"/>
    <w:rsid w:val="00AA5A18"/>
    <w:rsid w:val="00AC7BD7"/>
    <w:rsid w:val="00AD2DF3"/>
    <w:rsid w:val="00AD473F"/>
    <w:rsid w:val="00AE1234"/>
    <w:rsid w:val="00AE5822"/>
    <w:rsid w:val="00AE5C88"/>
    <w:rsid w:val="00B06D89"/>
    <w:rsid w:val="00B1176E"/>
    <w:rsid w:val="00B20244"/>
    <w:rsid w:val="00B23DBD"/>
    <w:rsid w:val="00B33BA1"/>
    <w:rsid w:val="00B35232"/>
    <w:rsid w:val="00B41DF7"/>
    <w:rsid w:val="00B43D44"/>
    <w:rsid w:val="00B451B0"/>
    <w:rsid w:val="00B54B75"/>
    <w:rsid w:val="00B606CF"/>
    <w:rsid w:val="00B804CD"/>
    <w:rsid w:val="00B9627E"/>
    <w:rsid w:val="00BC275C"/>
    <w:rsid w:val="00BC7D10"/>
    <w:rsid w:val="00BD67E5"/>
    <w:rsid w:val="00BF4404"/>
    <w:rsid w:val="00C018A4"/>
    <w:rsid w:val="00C24F66"/>
    <w:rsid w:val="00C25B44"/>
    <w:rsid w:val="00C25D11"/>
    <w:rsid w:val="00C42F14"/>
    <w:rsid w:val="00C46CFF"/>
    <w:rsid w:val="00C57546"/>
    <w:rsid w:val="00C7174A"/>
    <w:rsid w:val="00C81DD8"/>
    <w:rsid w:val="00C93144"/>
    <w:rsid w:val="00C945D3"/>
    <w:rsid w:val="00C95F44"/>
    <w:rsid w:val="00CC5300"/>
    <w:rsid w:val="00CD6999"/>
    <w:rsid w:val="00CF33B0"/>
    <w:rsid w:val="00D01247"/>
    <w:rsid w:val="00D01CC1"/>
    <w:rsid w:val="00D15DB2"/>
    <w:rsid w:val="00D442B9"/>
    <w:rsid w:val="00D534E9"/>
    <w:rsid w:val="00D87436"/>
    <w:rsid w:val="00D91F49"/>
    <w:rsid w:val="00DC4892"/>
    <w:rsid w:val="00DC4DC9"/>
    <w:rsid w:val="00DC51C4"/>
    <w:rsid w:val="00DD3D16"/>
    <w:rsid w:val="00DE13A2"/>
    <w:rsid w:val="00DE2912"/>
    <w:rsid w:val="00DE361C"/>
    <w:rsid w:val="00E107D1"/>
    <w:rsid w:val="00E12255"/>
    <w:rsid w:val="00E12C92"/>
    <w:rsid w:val="00E14E4F"/>
    <w:rsid w:val="00E1620B"/>
    <w:rsid w:val="00E20FE9"/>
    <w:rsid w:val="00E21D6A"/>
    <w:rsid w:val="00E30F0A"/>
    <w:rsid w:val="00E350DE"/>
    <w:rsid w:val="00E410FA"/>
    <w:rsid w:val="00E46D86"/>
    <w:rsid w:val="00E46E46"/>
    <w:rsid w:val="00E530AE"/>
    <w:rsid w:val="00E56A58"/>
    <w:rsid w:val="00E63A70"/>
    <w:rsid w:val="00E9037B"/>
    <w:rsid w:val="00E91A35"/>
    <w:rsid w:val="00EA654C"/>
    <w:rsid w:val="00ED7358"/>
    <w:rsid w:val="00EE014C"/>
    <w:rsid w:val="00EE0F40"/>
    <w:rsid w:val="00EF069B"/>
    <w:rsid w:val="00EF29E0"/>
    <w:rsid w:val="00F03369"/>
    <w:rsid w:val="00F24E1C"/>
    <w:rsid w:val="00F30DF9"/>
    <w:rsid w:val="00F31B1E"/>
    <w:rsid w:val="00F3255A"/>
    <w:rsid w:val="00F33073"/>
    <w:rsid w:val="00F34846"/>
    <w:rsid w:val="00F448D9"/>
    <w:rsid w:val="00F44C9D"/>
    <w:rsid w:val="00F46488"/>
    <w:rsid w:val="00F464F5"/>
    <w:rsid w:val="00F5096E"/>
    <w:rsid w:val="00F51178"/>
    <w:rsid w:val="00F52B14"/>
    <w:rsid w:val="00F53095"/>
    <w:rsid w:val="00F575C1"/>
    <w:rsid w:val="00F57775"/>
    <w:rsid w:val="00F57990"/>
    <w:rsid w:val="00F6057D"/>
    <w:rsid w:val="00F64EB8"/>
    <w:rsid w:val="00F70A8B"/>
    <w:rsid w:val="00F81A3B"/>
    <w:rsid w:val="00FA2397"/>
    <w:rsid w:val="00FA433C"/>
    <w:rsid w:val="00FD6F1A"/>
    <w:rsid w:val="00FE13D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66342-4C43-43B9-92D7-FABB672E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95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3F5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5F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C95F4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99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F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819"/>
  </w:style>
  <w:style w:type="paragraph" w:styleId="Fuzeile">
    <w:name w:val="footer"/>
    <w:basedOn w:val="Standard"/>
    <w:link w:val="FuzeileZchn"/>
    <w:uiPriority w:val="99"/>
    <w:unhideWhenUsed/>
    <w:rsid w:val="009F0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geordnetenwatch.de/sites/default/files/media/documents/2020-04/bmi-corona-strategiepapie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dc.gov/covid/php/surveillance/burden-estimate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ki.de/DE/Content/InfAZ/N/Neuartiges_Coronavirus/Situationsberichte/2020-07-30-de.pdf?__blob=publicationFil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3327</Words>
  <Characters>20961</Characters>
  <Application>Microsoft Office Word</Application>
  <DocSecurity>0</DocSecurity>
  <Lines>174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Johanna Lehmann</dc:creator>
  <cp:keywords/>
  <dc:description/>
  <cp:lastModifiedBy>Karla Johanna Lehmann</cp:lastModifiedBy>
  <cp:revision>2</cp:revision>
  <cp:lastPrinted>2025-01-23T13:40:00Z</cp:lastPrinted>
  <dcterms:created xsi:type="dcterms:W3CDTF">2025-02-03T12:00:00Z</dcterms:created>
  <dcterms:modified xsi:type="dcterms:W3CDTF">2025-02-03T12:00:00Z</dcterms:modified>
</cp:coreProperties>
</file>